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vergelijken en structureren;</w:t>
      </w:r>
    </w:p>
    <w:p>
      <w:r>
        <w:rPr/>
        <w:t xml:space="preserve">deze selectie van informatie kritisch verantwoorden;</w:t>
      </w:r>
    </w:p>
    <w:p>
      <w:r>
        <w:rPr/>
        <w:t xml:space="preserve">op gevarieerd bronnenmateriaal de methode van de historische kritiek toepassen. Je vindt dit in elk handboek geschiedenis. Op basis van die methode je onderzoek bijsturen;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historische informatie bevragen door gebruik te maken van de vermelde structuurbegrippen;</w:t>
      </w:r>
    </w:p>
    <w:p>
      <w:r>
        <w:rPr/>
        <w:t xml:space="preserve">historische informatie situeren in het historisch referentiekader;</w:t>
      </w:r>
    </w:p>
    <w:p>
      <w:r>
        <w:rPr/>
        <w:t xml:space="preserve">begrijpen dat geschiedenis een constructie van het verleden is op basis van de interpretatie van het bronnenmateriaal;</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censuur, cijns, coalitie, conservatief, (de)kolonisatie, democratie, demografie, dynastie, economische crisis, federalisering, genocide, globalisering, grondwet, holocaust, ideologie, imperialisme, interbellum, kapitalisme, klassenmaatschappij, monarchie,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veranderingen in de 19e eeuw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en de Daensisten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sociale wetgeving, vakbonden en ziekenfondsen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analyseren met behulp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w:t>
            </w:r>
          </w:p>
          <w:p>
            <w:pPr>
              <w:pStyle w:val="ListParagraph"/>
              <w:numPr>
                <w:ilvl w:val="0"/>
                <w:numId w:val="9"/>
              </w:numPr>
            </w:pPr>
            <w:r>
              <w:rPr/>
              <w:t xml:space="preserve">de rol van Leopold II in de kolonisatie van Congo</w:t>
            </w:r>
          </w:p>
          <w:p>
            <w:pPr>
              <w:pStyle w:val="ListParagraph"/>
              <w:numPr>
                <w:ilvl w:val="0"/>
                <w:numId w:val="9"/>
              </w:numPr>
            </w:pP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kolonisatie situeren in de tijd en in de ruimte</w:t>
              <w:br/>
              <w:t xml:space="preserve"/>
              <w:br/>
              <w:t xml:space="preserve">deze rol uitleggen, verklaren, toepassen en analyseren</w:t>
              <w:br/>
              <w:t xml:space="preserve"/>
              <w:br/>
              <w:t xml:space="preserve">deze gevolgen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deze bepalingen aanduiden op een kaart</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 voor de oprichting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reden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beleid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Europese eenmakingsproces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actuele uitdagingen van de welvaartsstaat uitleggen,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het uiteenvallen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aan de hand van documenten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aan de hand van documenten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Israël en de Palestijnse kwestie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onafhankelijkheid van Israël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onafhankelijkheid situeren in tijd en ruimte</w:t>
              <w:br/>
              <w:t xml:space="preserve"/>
              <w:br/>
              <w:t xml:space="preserve"> de oorzaken en de gevolgen van deze onafhankelijkheid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Gazastrook, Westelijke Jordaanoever, de Sinaïwoestijn en Jeruzalem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gebieden op een blinde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en van de Veiligheidsmuur, de spiraal van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denkstromingen: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3kso en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(deel A):</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(deel B)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de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