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Frans (MT) schriftelijk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www.onderwijsdoelen.be</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r>
    </w:p>
    <w:p>
      <w:r>
        <w:rPr/>
        <w:t xml:space="preserve">Bovendien kan je een taal niet loskoppelen van de cultuur die haar voedt. Wil je doeltreffend communiceren, dan moet je cultuuruitingen die specifiek zijn voor de streek waar een taal gesproken wordt, kunnen herkennen. Je moet in staat zijn om bewust om te gaan met die gelijkenissen en verschillen met je eigen cultuur door erop in te spelen in je communicatie.</w:t>
      </w:r>
    </w:p>
    <w:p>
      <w:r>
        <w:rPr/>
        <w:t xml:space="preserve">Als je vreemde talen leert, moet je dus leren inspelen op verschillende communicatiesituaties. Globaal zijn er dat vier: je gebruikt taal om iets te doen in de privésfeer, als lid van de samenleving, voor je opleiding of voor je werk.</w:t>
      </w:r>
    </w:p>
    <w:p>
      <w:r>
        <w:rP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r>
    </w:p>
    <w:p>
      <w:r>
        <w:rPr/>
        <w:t xml:space="preserve">De eindtermen moderne vreemde talen vind je op deze website: http://www.ond.vlaanderen.be/curriculum/secundair-onderwijs/.</w:t>
      </w:r>
    </w:p>
    <w:p>
      <w:r>
        <w:rP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Frans derde graad tso moet je deze vaardigheden globaal beheersen op het niveau A2/B1 van het ERK. In de volgende tabellen vind je wat je voor elke vaardigheid moet kunnen en wat je moet doen op het examen om te bewijzen dat je dat kan.</w:t>
      </w:r>
    </w:p>
    <w:p>
      <w:r>
        <w:rPr/>
        <w:t xml:space="preserve">Om globaal het niveau A2/B1B1 te bereiken waarop je deze vijf vaardigheden moet beheersen, moet je voldoende grammatica en woordenschat kennen. Eindterm 32 geeft aan welke kenniselementen je zeker moet verwerven. In Van </w:t>
      </w:r>
      <w:r>
        <w:rPr>
          <w:i/>
        </w:rPr>
        <w:t xml:space="preserve">Dale Grammatica Frans</w:t>
      </w:r>
      <w:r>
        <w:rPr/>
        <w:t xml:space="preserve"> kan je opzoeken welke grammaticale inhouden verwacht worden op A2/B1-niveau.</w:t>
      </w:r>
    </w:p>
    <w:p>
      <w:r>
        <w:rPr/>
        <w:t xml:space="preserve">Als je die kennis gaat inzetten, moet je bovendien bewust nadenken over je taal en taalgebruik om zo je taalbeheersing te versterken.</w:t>
      </w:r>
    </w:p>
    <w:p>
      <w:r>
        <w:rPr/>
        <w:t xml:space="preserve">Verderop vind je concrete leermiddelen die je kunnen helpen om je huidige niveau in te schatten en je vaardigheden verder te ontwikkelen om het niveau A2/B1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kan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discussie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 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en formeel zijn. Het spreekt voor zich dat je in die situaties telkens de gepaste omgangsvormen en beleefdheidsformules gebruikt.</w:t>
      </w:r>
    </w:p>
    <w:p>
      <w:r>
        <w:rPr/>
        <w:t xml:space="preserve">Voor schrijven doe je dat in de vorm van een formulier, een vragenlijst, een mededeling, een brief of e-mail…</w:t>
      </w:r>
    </w:p>
    <w:p>
      <w:r>
        <w:rPr/>
        <w:t xml:space="preserve">Zowel voor schrijven als voor spreken kan de opdracht vertrekken van een schema of een korte tekst die je moet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tekst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tekst samenvatten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waardering kort toelichten</w:t>
              <w:br/>
              <w:t xml:space="preserve"/>
              <w:br/>
              <w:t xml:space="preserve">een tekst becommentariëren</w:t>
              <w:br/>
              <w:t xml:space="preserve"/>
              <w:br/>
              <w:t xml:space="preserve">een standpunt verwoorden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w:t>
        <w:br/>
        <w:t xml:space="preserve">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vakantieliefde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naartoe bent gegaan, wat je gaat doen, wanneer je terug zal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br/>
              <w:t xml:space="preserve"/>
              <w:br/>
              <w:t xml:space="preserve">extra informatie vraagt over bezienswaardigheden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alarmdienst</w:t>
              <w:br/>
              <w:t xml:space="preserve"/>
              <w:br/>
              <w:t xml:space="preserve">een diefstal aangeeft bij de politie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bijkomende informatie vraagt over een opdracht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klant adviseert over een artikel in een verkoopgesprek</w:t>
              <w:br/>
              <w:t xml:space="preserve"/>
              <w:br/>
              <w:t xml:space="preserve">een klacht uit over verkeerd geleverde goederen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schriftelijke examen Frans is een digitaal examen. Meer uitleg over onze digitale examens, de instructies en voorbeeldvragen vind je op http://examencommissiesecundaironderwijs.be/examens.</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Voor schrijven krijg je opdrachten. Die bestaan uit een korte situatiebeschrijving en een globale omschrijving van wat je moet doen.</w:t>
      </w:r>
    </w:p>
    <w:p>
      <w:pPr>
        <w:jc w:val="both"/>
      </w:pPr>
      <w:r>
        <w:t xml:space="preserve"/>
      </w:r>
    </w:p>
    <w:p>
      <w:pPr>
        <w:jc w:val="both"/>
      </w:pPr>
      <w:r>
        <w:t xml:space="preserve">Je kiest voor de richting moderne talen, waarin de klemtoon ligt op het leren van vreemde talen. Je examen zal dan ook verschillen van de examens voor kandidaten uit andere tso-richtingen: de moeilijkheidsgraad van de vragen en opdrachten kan hoger liggen.</w:t>
      </w:r>
    </w:p>
    <w:p>
      <w:pPr>
        <w:jc w:val="both"/>
      </w:pPr>
      <w:r>
        <w:t xml:space="preserve"/>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p>
    <w:p>
      <w:pPr>
        <w:jc w:val="both"/>
      </w:pPr>
      <w:r>
        <w:t xml:space="preserve">In de richting moderne talen zijn we strenger bij het beoordelen van je taalvaardigheid. De opdrachten kunnen gelijk zijn, maar we leggen de lat hoger bij de beoordeling. Op alle hierboven vermelde punten verwachten we dus meer nauwkeurigheid en vlotheid. </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Frans (MT) schriftelijk 3 tso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Frans (MT) schriftelijk 3 tso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Methode/grammatica/woordenschat</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Nouveau Quartier libre 5</w:t>
              <w:br/>
              <w:t xml:space="preserve"/>
              <w:br/>
              <w:t xml:space="preserve">Mistral T6</w:t>
              <w:br/>
              <w:t xml:space="preserve"/>
              <w:br/>
              <w:t xml:space="preserve">Grammaire trajet (Édition revue)</w:t>
              <w:br/>
              <w:t xml:space="preserve"/>
              <w:br/>
              <w:t xml:space="preserve">Grammaire L’essentiel (Nouvelle édition)</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Audace 5</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www.diekeure.be/nl-be/educatief</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C’est gagné 5</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Coup de Pouce 6 T</w:t>
              <w:br/>
              <w:t xml:space="preserve"/>
              <w:br/>
              <w:t xml:space="preserve">Vocabulaire 2000 (Édition révisée)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www.plantyn.com/secundair-onderwijs/frans/coup-de-coeur</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www.concours.olyfran.org/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taalwedstrijd Olyfran. Hier kan je testen hoe je in bepaalde taalsituaties kan reageren. Ook woordenschat- en grammaticakennis komen aan bod. Let op: je moet je eerst registreren. Kies het niveau A2. Als dat goed lukt, ga je over naar het niveau B1.</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bonjourdefrance.com/test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kan testen of je het gevraagde niveau haalt. Let op: je score op zelftests helpt je je kennis in te schatten, maar biedt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savoirs.rfi.fr/fr/apprendre-enseigner/langue-francaise/test-de-placement-ndeg2-b1/1</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je niveau te testen. Je beantwoordt 15 vragen (verschillende vaardigheden). Je krijgt daarna meteen je resultaat met een beschrijving van je niveau en tips om je Frans te verbeteren.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www.goethe-verlag.com/tests/NF/NF.HTM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200 tests om je Franse woordenschat in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www.leplaisirdapprendre.com/portfolio/activites-fle-en-ligne/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de verschillende vaardigheden te oefenen. Maakt gebruik van materiaal van andere websites.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www.france-education-international.fr/diplome/delf-tout-public/niveau-b1/entrainement?langue=fr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een website om je vaardigheden te oefenen. Geen autocorrectie maar er is wel een verbetersleutel.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lepetitscribe.com/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te werken aan je luister- en leesvaardigheid. Oefeningen met autocorrectie. Kies het niveau A2. Als dat goed lukt, ga je over naar het niveau B1.</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www.audio-lingua.eu/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kan je luisteren naar korte audiofragmenten, geen beeld. Op deze website vind je geen oefeningen.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gabfle.blogspot.com/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In het overzicht links kan je een thema kiezen. Selecteer een document  A2 of B1. Er zijn presentaties en authentieke dialogen, wel enkel audio. De dialogen zijn uitgeschreven en sommige woorden en (grammaticale) structuren worden toegelicht in het Frans. Bij de meeste dialogen zijn er ook oefeningen met autocorrectie.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www.podcastfrancaisfacile.com/apprendre-le-francais/french-communication-dialogues-fle-daily-life-listen-mp3</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Een hele reeks gesproken teksten en dialogen (audio) verdeeld over uiteenlopende thema’s. De dialogen zijn uitgeschreven en er zijn soms oefeningen voorzien om bepaalde structuren en grammaticale onderwerpen in te oefenen. Kies het niveau 'intermédiaire’.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www.rfi.fr/fr/podcasts/journal-fran%C3%A7ais-facile/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Elke dag kan je hier het nieuws uit Frankrijk en uit de wereld beluisteren in vereenvoudigd Frans.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www.flevideo.com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waarbij je kijkt naar korte videofragmenten. Vraagjes met autocorrectie en (soms) transcriptie van de tekst van de video’s. Kies bovenaan Élémentaire (A2). Als dat goed lukt, ga je over naar 'Intermédiaire (B1)’.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www.linguo.tv</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luisterfragmenten, maar zonder oefeningen. Je moet een (gratis) account aanmaken. Korte videoreportages waarvan je verschillende versies kan bekijken: de originele versie met of zonder ondertitels en een versie met ondertitels met een traag of een zeer traag spreektempo. Kies niveau A2/B1. De website staat nog niet helemaal op punt.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op basis van videoreportages. Kies het niveau 'Intermédiaire’.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bonjourdefrance.com/niveaux-de-francais</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Kies het niveau 'Intermédiaire’.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www.verbuga.eu</w:t>
              <w:br/>
              <w:t xml:space="preserve"/>
              <w:br/>
              <w:t xml:space="preserve"> leconjugueur.lefigaro.fr/</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Dit zijn twee websites waarop je de werkwoordvervoegingen kan instuderen.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Apps/Youtube-kanalen/tijdschriften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dit je helpen? Wat vind je hier? </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Babbel</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Bestaat nog niet in het Nederlands, er wordt vertrokken vanuit het Engels. Werkt met beelden. Naarmate je vordert, krijg je ook grammaticale tips.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Duolingo</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het Engels. Gratis app, maar bevat wel advertenties. Je moet een profiel aanmaken als je je vorderingen wil bijhouden. Werkt met levels, zoals games. Er bestaat ook een plusversie waarvoor je betaalt.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Memrise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Vertrekt vanuit het Nederlands. Zowel gratis versie met advertenties als betalende versie. Minder gestructureerd dan Duolingo. Deze app zet erg in op herhaling.</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Nu Beter Frans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Elke werkdag krijg je een test met 4 meerkeuzevragen om je kennis van het Frans te testen én te verbeteren.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Reverso</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App met woordenboekfunctie. Je krijgt een hele reeks mogelijke vertalingen met context en voorbeeldzinnen, en je kan al je opgezochte woorden opslaan. Daarna kan je een lijstje van die termen inoefenen via de studeerfunctie.</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French verb master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Een handige app om de Franse werkwoorden te 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Quizlet</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Zeer handig om woordenschat in te oefenen. Je kan zelf woordenlijsten creëren, maar je kan ook bestaande woordenlijsten opzoeken 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avec Pierre</w:t>
              <w:br/>
              <w:t xml:space="preserve"/>
              <w:br/>
              <w:t xml:space="preserve">youtube.com/channel/UCVgW9ZQaGBk6fsiPgE2mYDg</w:t>
              <w:br/>
              <w:t xml:space="preserve"/>
              <w:br/>
              <w:t xml:space="preserve">youtube.com/playlist?list=PLcoQWyFpRIxjqHAr-WgPu6C0whuKH8tk7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Abonneer je op het YouTube-kanaal. Pierre is een leraar Frans die samen met zijn echtgenote filmpjes maakt over allerlei onderwerpen.</w:t>
              <w:br/>
              <w:t xml:space="preserve"/>
              <w:br/>
              <w:t xml:space="preserve">Via deze tweede link vind je zijn grammaticalessen.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JKL - le français à portée de main</w:t>
              <w:br/>
              <w:t xml:space="preserve"/>
              <w:br/>
              <w:t xml:space="preserve">youtube.com/c/JKLlefran%C3%A7ais%C3%A0port%C3%A9edemain</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Kies hier een les van niveau A2/B1.</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authentique</w:t>
              <w:br/>
              <w:t xml:space="preserve"/>
              <w:br/>
              <w:t xml:space="preserve"> youtube.com/user/francaisauthentique/videos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Allerlei interessante tips om Frans te leren (spreken).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Parlez-vous French ?</w:t>
              <w:br/>
              <w:t xml:space="preserve"/>
              <w:br/>
              <w:t xml:space="preserve">youtube.com/channel/UC5E3cis5nJyfuiU5_bzvIwg?app=desktop&amp;cbrd=1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Ook op dit kanaal kan je je abonneren. Veel uitleg over grammaticale moeilijkheden in het Frans.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fr.metrotime.be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 Franstalige tegenhanger van het Nederlandstalige Metrotime. Gratis Belgisch dagblad met korte artikels over de actualiteit.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20minutes.fr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Gratis Frans dagblad met artikels over de actualiteit.</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