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Pardon?'</w:t>
      </w:r>
      <w:r>
        <w:rPr/>
        <w:t xml:space="preserve"> maar tegenover je baas zeg je beter </w:t>
      </w:r>
      <w:r>
        <w:rPr>
          <w:i/>
        </w:rPr>
        <w:t xml:space="preserve">'Vous pourriez répéter s'il vous pla&amp;icirc;t?'</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bso moet je deze vaardigheden globaal beheersen op het niveau A2 van het ERK. In de volgende tabellen vind je wat je voor elke vaardigheid moet kunnen en wat je moet doen op het examen om te bewijzen dat je dat kan.</w:t>
      </w:r>
    </w:p>
    <w:p>
      <w:r>
        <w:rPr/>
        <w:t xml:space="preserve">Om globaal het niveau A2 te bereiken waarop je deze vijf vaardigheden moet beheersen, moet je voldoende grammatica en woordenschat kennen. Eindtermen 22 en 23 geven een algemene beschrijving. In </w:t>
      </w:r>
      <w:r>
        <w:rPr>
          <w:i/>
        </w:rPr>
        <w:t xml:space="preserve">Van Dale Grammatica Frans</w:t>
      </w:r>
      <w:r>
        <w:rPr/>
        <w:t xml:space="preserve"> kan je opzoeken welke grammaticale inhouden verwacht worden op A2-niveau.</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'Je pourrais parler à M. Tricot s’il vous plaît?’), maar even goed zijn er zinnen die je gebruikt om een gesprek af te sluiten (bijvoorbeeld 'N’hésitez pas à me contacter si vous avez encore des questions’).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20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je 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een balpen</w:t>
      </w:r>
    </w:p>
    <w:p>
      <w:pPr>
        <w:jc w:val="both"/>
      </w:pPr>
      <w:r>
        <w:t xml:space="preserve">kladpapier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een van de examinatoren.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spreek- en gespreksopdrachten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je vlotheid</w:t>
      </w:r>
    </w:p>
    <w:p>
      <w:pPr>
        <w:jc w:val="both"/>
      </w:pPr>
      <w:r>
        <w:t xml:space="preserve">- je formulering,</w:t>
      </w:r>
    </w:p>
    <w:p>
      <w:pPr>
        <w:jc w:val="both"/>
      </w:pPr>
      <w:r>
        <w:t xml:space="preserve">- je uitspraak.</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Methode/grammatica/woordenschat</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Couleurs</w:t>
              <w:br/>
              <w:t xml:space="preserve"/>
              <w:br/>
              <w:t xml:space="preserve">Nouveau Quartier Couleurs Plus</w:t>
              <w:br/>
              <w:t xml:space="preserve"/>
              <w:br/>
              <w:t xml:space="preserve">Grammaire L’essentiel (Nouvelle édition): heel praktische tweetalige basisspraakkunst voor Nederlandstaligen</w:t>
              <w:br/>
              <w:t xml:space="preserve"/>
              <w:br/>
              <w:t xml:space="preserve">Grammaire Trajet Edition revue: volledig tweetalige grammatica voor Nederlandstaligen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br/>
              <w:t xml:space="preserve"/>
              <w:br/>
              <w:t xml:space="preserve"> </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Max-Frans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Vocabulaire 2000 Edition révisée: woordenschat per thema ingedeeld, volgens de ERK-niveaus (concentreer je op het niveau A2)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br/>
              <w:t xml:space="preserve"/>
              <w:br/>
              <w:t xml:space="preserve"> </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Kies 'intermédiaire A2’.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savoirs.rfi.fr/fr/apprendre-enseigner/langue-francaise/test-de-placement-ndeg2-a2/1</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De vragen worden gesteld in het Frans en in het Engels.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www.france-education-international.fr/diplome/delf-tout-public/niveau-a2/entrainement?langue=fr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categorie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Klik rechts (bij 'recherche avancée’) op 'français’, niveau A2.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dialogen (audio) verdeeld over uiteenlopende thema’s. De dialogen zijn uitgeschreven en er zijn soms oefeningen voorzien om bepaalde structuren en grammaticale onderwerpen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'Elémentaire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www.podcastfrancaisfacile.com/plan-de-cours-fle-delf-a2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In elke les oefen je luisteren en lezen en krijg je theorie en oefeningen grammatica en woordenschat.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'Elémentaire’.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'Elémentaire supérieur’.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leconjugueur.lefigaro.fr/</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  </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