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burgerlijk en handelsrecht 3 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Secretariaat Talen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Handel </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Leerplannen</w:t>
      </w:r>
      <w:r w:rsidR="00AF709A">
        <w:t xml:space="preserve"> </w:t>
      </w:r>
      <w:r w:rsidR="0034339E">
        <w:t xml:space="preserve">: </w:t>
      </w:r>
      <w:r>
        <w:t>(1.) OVSG O/2/2014/313 (handel) </w:t>
        <w:br/>
        <w:t>(2.) OVSG O/2/2009/327 (secretariaat-talen)</w:t>
        <w:br/>
        <w:t>(3) GO 2008 /81/1/J /SG/ 1/ III// D/ (handel) </w:t>
        <w:br/>
        <w:t>(4) GO 2008/83//1 M/SG/1/ III//D/(secretariaat-talen)</w:t>
        <w:br/>
        <w:t>(5) KOV D/2017/13.758/005 (handel) </w:t>
        <w:br/>
        <w:t>(6) KOV D/2010/7841/008 (secretariaat-talen)</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bijlagen heb je nodig?</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Waar mensen samenleven en samenwerken is er nood aan regels om dit samenleven en samenwerken mogelijk te maken. Hoe complexer de samenleving, hoe meer regels nodig worden om dit samenleven mogelijk te maken. Het geheel van al deze regels die door de overheid worden opgelegd noemt men het recht. </w:t>
        <w:br/>
        <w:t xml:space="preserve"> </w:t>
        <w:br/>
        <w:t xml:space="preserve">Het vak Burgerlijk en Handelsrecht is enerzijds een algemeen vormend vak. In onze samenleving kom je dagelijks in aanraking met rechtsregels: het verkeersreglement, de regels bij de aankoop van een wagen, het sluiten van een verzekeringsovereenkomst ... Dit vak zorgt er dus in de eerste plaats voor dat je 'mee' bent als burger in onze samenleving door de belangrijkste begrippen en regels uit het nationaal recht te kennen.</w:t>
        <w:br/>
        <w:t xml:space="preserve">Anderzijds zal je als toekomstig werknemer, zowel in de private sector (=de bedrijfswereld) als de publieke sector(=de overheid), of als zelfstandige in contact komen met het recht. Dit vak geeft je, samen met het vak Sociaal en Fiscaal Recht, een inzicht in een aantal juridische onderwerpen waar je tijdens je loopbaan zeker mee te maken krijgt.</w:t>
        <w:br/>
        <w:t xml:space="preserve"/>
        <w:br/>
        <w:t xml:space="preserve">Het vak (en het examen) bestaat uit vijf componenten. De eerste component bevat een aantal inleidende thema's: het begrip recht, de bronnen van het recht, de indeling van het recht, de uitvoerende, wetgevende en rechterlijke macht in België ... Via deze thema's krijg je een goed beeld welke rechtsregels er zijn, hoe verschillende soorten rechtsregels tot stand komen en hoe en waar rechtsregels worden afgedwongen.</w:t>
        <w:br/>
        <w:t xml:space="preserve"/>
        <w:br/>
        <w:t xml:space="preserve">Voor de tweede component bestudeer je een aantal thema's uit het personenrecht: o.a. de kenmerken van een persoon, de verwantschap tussen personen, samenlevingsvormen zoals het huwelijk ....</w:t>
        <w:br/>
        <w:t xml:space="preserve"/>
        <w:br/>
        <w:t xml:space="preserve">In de derde component, komen een aantal onderwerpen uit het goederenrecht aan bod: o.a. de soorten goederen, de basisprincipes van het erfrecht ...</w:t>
        <w:br/>
        <w:t xml:space="preserve"/>
        <w:br/>
        <w:t xml:space="preserve">Het laatste onderdeel van het burgerlijk recht, de vierde component, gaat over de meest voorkomende overeenkomsten: de koopovereenkomst, de (woning)huurovereenkomst en de verzekeringsovereenkomst ...</w:t>
        <w:br/>
        <w:t xml:space="preserve"/>
        <w:br/>
        <w:t xml:space="preserve">De laatste component van het examen is het handelsrecht dat stilaan evolueert naar een "ondernemingsrecht". De voorwaarden om te starten met een onderneming, de rechten en de plichten van ondernemers, een aantal specifieke regels die enkel voor ondernemingen geldt komen hier aan bod.</w:t>
        <w:br/>
        <w:t xml:space="preserve"/>
        <w:br/>
        <w:t xml:space="preserve">Het is niet de bedoeling dat je hele procedures volledig en tot in het detail uit je hoofd leert. Het is vooral van belang dat betekenis van de belangrijkste juridische basisbegrippen en hoofdprincipes onder de knie hebt. Bovendien zullen we je vaardigheid testen om uit teksten met een juridische inhoud (huurovereenkomst, verzekeringsovereenkomst, brochure van de overheid) de belangrijkste en correcte informatie kan halen. We zullen ook nagaan of je de regels en procedures kan toepassen op eenvoudige voorbeeldsituaties.</w:t>
        <w:br/>
        <w:t xml:space="preserve">De vaardigheid om de meest actuele, relevante en correcte informatie op te zoeken zal je ook moeten gebruiken om je examen goed voor te bereiden. Het recht verandert immers constant. Je moet dus de rechtsregels en wetgeving opzoeken die op het moment van het examen van toepassing zijn. (vb. het huurdecreet vanaf januari 2019, de nieuwe regels voor ondernemingen vanaf september 2018 ...).</w:t>
        <w:br/>
        <w:t xml:space="preserve"> </w:t>
      </w:r>
    </w:p>
    <w:p>
      <w:r>
        <w:rPr/>
        <w:t xml:space="preserve"/>
      </w:r>
      <w:r>
        <w:rPr>
          <w:color w:val="00B050"/>
        </w:rPr>
        <w:t/>
      </w:r>
    </w:p>
    <w:p w14:paraId="70391787" w14:textId="3DB223A8" w:rsidR="00047953" w:rsidRDefault="001D02B3" w:rsidP="0082741A">
      <w:r>
        <w:rPr>
          <w:color w:val="00B050"/>
        </w:rPr>
        <w:t/>
      </w:r>
      <w:r>
        <w:t/>
      </w:r>
      <w:r>
        <w:rPr/>
        <w:t xml:space="preserve">In de tabel </w:t>
      </w:r>
      <w:r>
        <w:rPr>
          <w:i/>
          <w:b/>
        </w:rPr>
        <w:t xml:space="preserve">Wat moet je doen?</w:t>
      </w:r>
      <w:r>
        <w:rPr/>
        <w:t xml:space="preserve"> van de vakfiche staan verschillende werkwoorden.  Deze werkwoorden duiden aan op welke manier je de leerstof dient te verwerken en wat je zal moeten doen op het examen. In dit overzicht verduidelijken we de betekenis van deze werkwoorden:</w:t>
        <w:br/>
        <w:t xml:space="preserve"/>
        <w:br/>
        <w:t xml:space="preserve"/>
      </w:r>
      <w:r>
        <w:rPr>
          <w:b/>
        </w:rPr>
        <w:t xml:space="preserve">een juridisch begrip definiëren:</w:t>
      </w:r>
      <w:r>
        <w:rPr/>
        <w:t xml:space="preserve"/>
        <w:br/>
        <w:t xml:space="preserve">Als je een begrip moet definiëren dan moet je zelf de volledige en correcte wettelijke definitie van een begrip kunnen geven. In dat geval is er geen ruimte om het begrip in je eigen woorden weer te geven aangezien er dan gevaar is dat de betekenis niet helemaal dezelfde is. Het werkwoord definiëren komt slechts een paar keer voor bij een aantal essentiële begrippen (o.a. een verbintenis, een overeenkomst, een koopovereenkomst, ...). Het kan ook betekenen dat je een foutieve definitie moet verbeteren of een onvolledige definitie moet aanvullen.</w:t>
        <w:br/>
        <w:t xml:space="preserve"/>
        <w:br/>
        <w:t xml:space="preserve"/>
      </w:r>
      <w:r>
        <w:rPr>
          <w:b/>
        </w:rPr>
        <w:t xml:space="preserve">beschrijven</w:t>
      </w:r>
      <w:r>
        <w:rPr/>
        <w:t xml:space="preserve"/>
        <w:br/>
        <w:t xml:space="preserve">Als je een begrip of een regeling moet beschrijven dan betekent dit dat je de betekenis van het begrip of de regeling moet begrijpen en dat je de betekenis van het begrip of de regeling in je eigen woorden kan geven. </w:t>
        <w:br/>
        <w:t xml:space="preserve"> </w:t>
        <w:br/>
        <w:t xml:space="preserve"/>
      </w:r>
      <w:r>
        <w:rPr>
          <w:b/>
        </w:rPr>
        <w:t xml:space="preserve">herkennen:</w:t>
      </w:r>
      <w:r>
        <w:rPr/>
        <w:t xml:space="preserve"/>
        <w:br/>
        <w:t xml:space="preserve">Herkennen betekent dat je de kennis van  juridisch begrip, een rechtsregel of een procedure in een situatie verbindt met een voorbeeldsituatie. Het betekent dus dat je kan aantonen dat je de betekenis van het begrip kent en dat je het woord zelf kan gebruiken in de juiste context. </w:t>
        <w:br/>
        <w:t xml:space="preserve"/>
        <w:br/>
        <w:t xml:space="preserve"/>
      </w:r>
      <w:r>
        <w:rPr>
          <w:b/>
        </w:rPr>
        <w:t xml:space="preserve">illustreren:</w:t>
      </w:r>
      <w:r>
        <w:rPr/>
        <w:t xml:space="preserve"/>
        <w:br/>
        <w:t xml:space="preserve">Illustreren betekent dat je van een algemeen concept voorbeelden kan geven.</w:t>
        <w:br/>
        <w:t xml:space="preserve"/>
        <w:br/>
        <w:t xml:space="preserve"/>
      </w:r>
      <w:r>
        <w:rPr>
          <w:b/>
        </w:rPr>
        <w:t xml:space="preserve">opsommen:</w:t>
      </w:r>
      <w:r>
        <w:rPr/>
        <w:t xml:space="preserve"/>
        <w:br/>
        <w:t xml:space="preserve">Als je begrippen moet opsommen, volstaat het dat je de gevraagde begrippen in (in een gevraagde volgorde) kan geven.  </w:t>
        <w:br/>
        <w:t xml:space="preserve"/>
        <w:br/>
        <w:t xml:space="preserve"/>
      </w:r>
      <w:r>
        <w:rPr>
          <w:b/>
        </w:rPr>
        <w:t xml:space="preserve">vergelijken:</w:t>
      </w:r>
      <w:r>
        <w:rPr/>
        <w:t xml:space="preserve"/>
        <w:br/>
        <w:t xml:space="preserve">Als je begrippen met elkaar moet kunnen vergelijken, betekent dit dat je de gemeenschappelijke kenmerken en de verschillende kenmerken van de begrippen kan aanduiden.</w:t>
        <w:br/>
        <w:t xml:space="preserve"/>
        <w:br/>
        <w:t xml:space="preserve"/>
      </w:r>
      <w:r>
        <w:rPr>
          <w:b/>
        </w:rPr>
        <w:t xml:space="preserve">toepassen:</w:t>
      </w:r>
      <w:r>
        <w:rPr/>
        <w:t xml:space="preserve"/>
        <w:br/>
        <w:t xml:space="preserve">Als je een procedure of een  rechtsregel moet toepassen, dan betekent dit dat je op een voorbeeldsituatie de rechtsregels die je kent moet gebruiken om zo tot een oplossing van een juridische vraag te komen.</w:t>
        <w:br/>
        <w:t xml:space="preserve"/>
        <w:br/>
        <w:t xml:space="preserve"/>
      </w:r>
      <w:r>
        <w:rPr>
          <w:b/>
        </w:rPr>
        <w:t xml:space="preserve">informatie afleiden:</w:t>
      </w:r>
      <w:r>
        <w:rPr/>
        <w:t xml:space="preserve"/>
        <w:br/>
        <w:t xml:space="preserve">Als  je basisinformatie uit een tekst of een juridische document moet afleiden, betekent dit dat je informatie uit een document moet halen om zo een correct antwoord te kunnen geven op de vraag. In de vraag of in de tekst kunnen woorden zitten waarvan je zelf de betekenis moet kennen.</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Recht: Inleidende begrippen </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Het personenrecht</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Het goederenrecht</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Overeenkomsten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Het handelsrecht</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Recht: Inleidende begrippen </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De definitie, het nut en kenmerken van het recht</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recht en het nut van recht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recht en het nut van recht beschrijven en met voorbeelden illustreren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kenmerken van rechtsregels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kenmerken van rechtsregels beschrijven en herkennen in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Het nationaal recht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principe van de scheiding der machten</w:t>
              <w:br/>
              <w:t xml:space="preserve"> </w:t>
              <w:br/>
              <w:t xml:space="preserve"/>
              <w:br/>
              <w:t xml:space="preserve"> </w:t>
              <w:br/>
              <w:t xml:space="preserve"/>
              <w:br/>
              <w:t xml:space="preserve"> </w:t>
              <w:br/>
              <w:t xml:space="preserve"/>
              <w:br/>
              <w:t xml:space="preserve">de grondwet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taken van de wetgevende, de uitvoerende en de rechterlijke macht beschrijven, illustreren en herkennen in voorbeelden</w:t>
              <w:br/>
              <w:t xml:space="preserve"/>
              <w:br/>
              <w:t xml:space="preserve">het principe van de scheiding der machten beschrijven</w:t>
              <w:br/>
              <w:t xml:space="preserve"/>
              <w:br/>
              <w:t xml:space="preserve"/>
              <w:br/>
              <w:t xml:space="preserve">de grondwet:</w:t>
            </w:r>
          </w:p>
          <w:p>
            <w:pPr>
              <w:pStyle w:val="ListParagraph"/>
              <w:numPr>
                <w:ilvl w:val="0"/>
                <w:numId w:val="8"/>
              </w:numPr>
            </w:pPr>
            <w:r>
              <w:rPr/>
              <w:t xml:space="preserve">het doel van de grondwet beschrijven</w:t>
            </w:r>
          </w:p>
          <w:p>
            <w:pPr>
              <w:pStyle w:val="ListParagraph"/>
              <w:numPr>
                <w:ilvl w:val="0"/>
                <w:numId w:val="8"/>
              </w:numPr>
            </w:pPr>
            <w:r>
              <w:rPr/>
              <w:t xml:space="preserve">uit de inhoudstafel van de grondwet afleiden welke thema's in de grondwet aan bod komen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wetgevende macht:</w:t>
              <w:br/>
              <w:t xml:space="preserve"/>
              <w:br/>
              <w:t xml:space="preserve"/>
            </w:r>
          </w:p>
          <w:p>
            <w:pPr>
              <w:pStyle w:val="ListParagraph"/>
              <w:numPr>
                <w:ilvl w:val="0"/>
                <w:numId w:val="9"/>
              </w:numPr>
            </w:pPr>
            <w:r>
              <w:rPr/>
              <w:t xml:space="preserve">de federale en de Vlaamse wetgevende instellingen</w:t>
            </w:r>
          </w:p>
          <w:p>
            <w:pPr>
              <w:pStyle w:val="ListParagraph"/>
              <w:numPr>
                <w:ilvl w:val="0"/>
                <w:numId w:val="9"/>
              </w:numPr>
            </w:pPr>
            <w:r>
              <w:rPr/>
              <w:t xml:space="preserve">wetten en decreten</w:t>
            </w:r>
          </w:p>
          <w:p>
            <w:r>
              <w:rP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federale en de Vlaamse wetgevende instellingen opsommen en hun taken beschrijven, illustreren en herkennen</w:t>
              <w:br/>
              <w:t xml:space="preserve"/>
              <w:br/>
              <w:t xml:space="preserve">het begrip federale wet beschrijven</w:t>
              <w:br/>
              <w:t xml:space="preserve"/>
              <w:br/>
              <w:t xml:space="preserve">het begrip decreet beschrijven</w:t>
              <w:br/>
              <w:t xml:space="preserve"/>
              <w:br/>
              <w:t xml:space="preserve">de federale wet en het decreet met elkaar vergelijken</w:t>
              <w:br/>
              <w:t xml:space="preserve"/>
              <w:br/>
              <w:t xml:space="preserve">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uitvoerende macht:</w:t>
            </w:r>
          </w:p>
          <w:p>
            <w:pPr>
              <w:pStyle w:val="ListParagraph"/>
              <w:numPr>
                <w:ilvl w:val="0"/>
                <w:numId w:val="10"/>
              </w:numPr>
            </w:pPr>
            <w:r>
              <w:rPr/>
              <w:t xml:space="preserve">de federale en de Vlaamse instellingen van de uitvoerende macht</w:t>
            </w:r>
          </w:p>
          <w:p>
            <w:pPr>
              <w:pStyle w:val="ListParagraph"/>
              <w:numPr>
                <w:ilvl w:val="0"/>
                <w:numId w:val="10"/>
              </w:numPr>
            </w:pPr>
            <w:r>
              <w:rPr/>
              <w:t xml:space="preserve">de huidige federale eerste minister en de huidige Vlaamse minister-president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instellingen van de federale uitvoerende macht en de instellingen van de Vlaamse uitvoerende macht opsommen en hun taken beschrijven, illustreren en herkennen</w:t>
              <w:br/>
              <w:t xml:space="preserve"/>
              <w:br/>
              <w:t xml:space="preserve">de namen van de huidige federale eerste minister en de huidige Vlaamse minister-president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rechterlijke macht:</w:t>
            </w:r>
          </w:p>
          <w:p>
            <w:pPr>
              <w:pStyle w:val="ListParagraph"/>
              <w:numPr>
                <w:ilvl w:val="0"/>
                <w:numId w:val="11"/>
              </w:numPr>
            </w:pPr>
            <w:r>
              <w:rPr/>
              <w:t xml:space="preserve">de taak van de rechterlijke macht</w:t>
            </w:r>
          </w:p>
          <w:p>
            <w:pPr>
              <w:pStyle w:val="ListParagraph"/>
              <w:numPr>
                <w:ilvl w:val="0"/>
                <w:numId w:val="11"/>
              </w:numPr>
            </w:pPr>
            <w:r>
              <w:rPr/>
              <w:t xml:space="preserve">de rechtbanken en gerechtshoven en hun bevoegdheden</w:t>
            </w:r>
          </w:p>
          <w:p>
            <w:pPr>
              <w:pStyle w:val="ListParagraph"/>
              <w:numPr>
                <w:ilvl w:val="0"/>
                <w:numId w:val="11"/>
              </w:numPr>
            </w:pPr>
            <w:r>
              <w:rPr/>
              <w:t xml:space="preserve">de eerstelijns en tweedelijns juridische hulp</w:t>
            </w:r>
          </w:p>
          <w:p>
            <w:pPr>
              <w:pStyle w:val="ListParagraph"/>
              <w:numPr>
                <w:ilvl w:val="0"/>
                <w:numId w:val="11"/>
              </w:numPr>
            </w:pPr>
            <w:r>
              <w:rPr/>
              <w:t xml:space="preserve">het verschil tussen burgerlijke zaken en strafzaken</w:t>
            </w:r>
          </w:p>
          <w:p>
            <w:pPr>
              <w:pStyle w:val="ListParagraph"/>
              <w:numPr>
                <w:ilvl w:val="0"/>
                <w:numId w:val="11"/>
              </w:numPr>
            </w:pPr>
            <w:r>
              <w:rPr/>
              <w:t xml:space="preserve">de actoren bij een burgerlijke proces o.a. de advocaat, de rechter, de griffier, de eiser, de verweerder ...</w:t>
            </w:r>
          </w:p>
          <w:p>
            <w:pPr>
              <w:pStyle w:val="ListParagraph"/>
              <w:numPr>
                <w:ilvl w:val="0"/>
                <w:numId w:val="11"/>
              </w:numPr>
            </w:pPr>
            <w:r>
              <w:rPr/>
              <w:t xml:space="preserve">de actoren bij een strafproces o.a. de dader, het slachtoffer, de burgerlijke partij, het openbaar ministerie of parket</w:t>
            </w:r>
          </w:p>
          <w:p>
            <w:pPr>
              <w:pStyle w:val="ListParagraph"/>
              <w:numPr>
                <w:ilvl w:val="0"/>
                <w:numId w:val="11"/>
              </w:numPr>
            </w:pPr>
            <w:r>
              <w:rPr/>
              <w:t xml:space="preserve">actuele ontwikkelingen en thema's binnen de rechterlijke macht: o.a. herstelbemiddeling, elektronisch toezicht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taak van de rechtelijke macht beschrijven, illustreren en herkennen in voorbeelden</w:t>
              <w:br/>
              <w:t xml:space="preserve"/>
              <w:br/>
              <w:t xml:space="preserve">op basis van een actueel schematisch overzicht (voorbeeld zie bijlage) afleiden welke rechtbank of gerechtshof bevoegd is voor een bepaald geschil</w:t>
              <w:br/>
              <w:t xml:space="preserve"/>
              <w:br/>
              <w:t xml:space="preserve">de begrippen eerstelijns juridische hulp en tweedelijns juridische hulp beschrijven en herkennen in voorbeelden</w:t>
              <w:br/>
              <w:t xml:space="preserve"/>
              <w:br/>
              <w:t xml:space="preserve">organisaties opsommen waar je terecht kan voor juridische hulp</w:t>
              <w:br/>
              <w:t xml:space="preserve"/>
              <w:br/>
              <w:t xml:space="preserve">uit een voorbeeld afleiden of een geschil een burgerlijke zaak, een strafzaak of een gemengde zaak is</w:t>
              <w:br/>
              <w:t xml:space="preserve"/>
              <w:br/>
              <w:t xml:space="preserve">de actoren van een burgerlijk proces en een strafproces benoemen</w:t>
              <w:br/>
              <w:t xml:space="preserve"/>
              <w:br/>
              <w:t xml:space="preserve">informatie afleiden uit teksten (vb. krantenartikels, brochures...) over actuele thema's binnen de rechterlijke macht.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indeling van het nationaal recht:</w:t>
            </w:r>
          </w:p>
          <w:p>
            <w:pPr>
              <w:pStyle w:val="ListParagraph"/>
              <w:numPr>
                <w:ilvl w:val="0"/>
                <w:numId w:val="12"/>
              </w:numPr>
            </w:pPr>
            <w:r>
              <w:rPr/>
              <w:t xml:space="preserve">de indeling van het nationaal recht in het privaatrecht en het publiek recht;</w:t>
            </w:r>
          </w:p>
          <w:p>
            <w:pPr>
              <w:pStyle w:val="ListParagraph"/>
              <w:numPr>
                <w:ilvl w:val="0"/>
                <w:numId w:val="12"/>
              </w:numPr>
            </w:pPr>
            <w:r>
              <w:rPr/>
              <w:t xml:space="preserve">de indeling van het nationaal recht in de verschillende rechtstakken: het burgerlijk recht, het strafrecht, het handelsrecht, het arbeidsrecht, het handelsrecht, het economisch recht en het grondwettelijk of administratief recht.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nationaal recht, privaatrecht en publiekrecht beschrijven, illustreren en herkennen in voorbeelden</w:t>
              <w:br/>
              <w:t xml:space="preserve"/>
              <w:br/>
              <w:t xml:space="preserve">de opgesomde rechtstakken beschrijven, illustreren en herkennen in voorbeelden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bronnen van het nationaal recht:</w:t>
            </w:r>
          </w:p>
          <w:p>
            <w:pPr>
              <w:pStyle w:val="ListParagraph"/>
              <w:numPr>
                <w:ilvl w:val="0"/>
                <w:numId w:val="13"/>
              </w:numPr>
            </w:pPr>
            <w:r>
              <w:rPr/>
              <w:t xml:space="preserve">de wet in materiële zin (o.a. wet, decreet, ordonnantie, koninklijk besluit en besluit van de Vlaamse regering) en de wet in de formele zin (=federale wet)</w:t>
            </w:r>
          </w:p>
          <w:p>
            <w:pPr>
              <w:pStyle w:val="ListParagraph"/>
              <w:numPr>
                <w:ilvl w:val="0"/>
                <w:numId w:val="13"/>
              </w:numPr>
            </w:pPr>
            <w:r>
              <w:rPr/>
              <w:t xml:space="preserve">de rechtsleer</w:t>
            </w:r>
          </w:p>
          <w:p>
            <w:pPr>
              <w:pStyle w:val="ListParagraph"/>
              <w:numPr>
                <w:ilvl w:val="0"/>
                <w:numId w:val="13"/>
              </w:numPr>
            </w:pPr>
            <w:r>
              <w:rPr/>
              <w:t xml:space="preserve">de rechtspraak</w:t>
            </w:r>
          </w:p>
          <w:p>
            <w:pPr>
              <w:pStyle w:val="ListParagraph"/>
              <w:numPr>
                <w:ilvl w:val="0"/>
                <w:numId w:val="13"/>
              </w:numPr>
            </w:pPr>
            <w:r>
              <w:rPr/>
              <w:t xml:space="preserve">de gewoonte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wet in materiële en in formele zin illustreren en herkennen.</w:t>
              <w:br/>
              <w:t xml:space="preserve"/>
              <w:br/>
              <w:t xml:space="preserve">de wet, het decreet, de ordonnantie, het koninklijk besluit en het besluit van de Vlaamse regering beschrijven en herkennen.</w:t>
              <w:br/>
              <w:t xml:space="preserve"/>
              <w:br/>
              <w:t xml:space="preserve">de andere bronnen van het recht illustreren en herkennen in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Het internationaal recht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begrip Internationaal recht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invloed van het interrnationaal recht op het nationaal recht illustreren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bronnen van Internationaal recht:</w:t>
            </w:r>
          </w:p>
          <w:p>
            <w:pPr>
              <w:pStyle w:val="ListParagraph"/>
              <w:numPr>
                <w:ilvl w:val="0"/>
                <w:numId w:val="14"/>
              </w:numPr>
            </w:pPr>
            <w:r>
              <w:rPr/>
              <w:t xml:space="preserve">de instellingen van de Europese Unie: de Europese commissie, het Europees Parlement en de Europese Raad en de Raad van de Europese Unie</w:t>
            </w:r>
          </w:p>
          <w:p>
            <w:pPr>
              <w:pStyle w:val="ListParagraph"/>
              <w:numPr>
                <w:ilvl w:val="0"/>
                <w:numId w:val="14"/>
              </w:numPr>
            </w:pPr>
            <w:r>
              <w:rPr/>
              <w:t xml:space="preserve">Europese Verdragen: o.a. het Verdrag van de Europese Unie, het Europees Verdrag voor de Rechten van de Mens</w:t>
            </w:r>
          </w:p>
          <w:p>
            <w:pPr>
              <w:pStyle w:val="ListParagraph"/>
              <w:numPr>
                <w:ilvl w:val="0"/>
                <w:numId w:val="14"/>
              </w:numPr>
            </w:pPr>
            <w:r>
              <w:rPr/>
              <w:t xml:space="preserve">Europese verordeningen en richtlijnen</w:t>
            </w:r>
          </w:p>
          <w:p>
            <w:pPr>
              <w:pStyle w:val="ListParagraph"/>
              <w:numPr>
                <w:ilvl w:val="0"/>
                <w:numId w:val="14"/>
              </w:numPr>
            </w:pPr>
            <w:r>
              <w:rPr/>
              <w:t xml:space="preserve">internationale verdragen: o.a. Internationaal Verdrag inzake de Rechten van het Kind, Internationaal Verdrag inzake de rechten van personen met een handicap</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op basis van een actueel schema (voorbeeld zie bijlage ) de taken van de wetgevende Europese instellingen toelichten en herkennen in voorbeelden</w:t>
              <w:br/>
              <w:t xml:space="preserve"/>
              <w:br/>
              <w:t xml:space="preserve">Europees recht illustreren met voorbeelden</w:t>
              <w:br/>
              <w:t xml:space="preserve"/>
              <w:br/>
              <w:t xml:space="preserve">Europese richtlijnen en Europese verordeningen met elkaar vergelijken</w:t>
              <w:br/>
              <w:t xml:space="preserve"/>
              <w:br/>
              <w:t xml:space="preserve">Internationaal recht illustreren met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Het personenrecht</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soorten personen</w:t>
            </w:r>
          </w:p>
          <w:p>
            <w:pPr>
              <w:pStyle w:val="ListParagraph"/>
              <w:numPr>
                <w:ilvl w:val="0"/>
                <w:numId w:val="15"/>
              </w:numPr>
            </w:pPr>
            <w:r>
              <w:rPr/>
              <w:t xml:space="preserve">de natuurlijke persoon</w:t>
            </w:r>
          </w:p>
          <w:p>
            <w:pPr>
              <w:pStyle w:val="ListParagraph"/>
              <w:numPr>
                <w:ilvl w:val="0"/>
                <w:numId w:val="15"/>
              </w:numPr>
            </w:pPr>
            <w:r>
              <w:rPr/>
              <w:t xml:space="preserve">de rechtspersoon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natuurlijk persoon en rechtspersoon beschrijven, illustreren en herkennen.</w:t>
              <w:br/>
              <w:t xml:space="preserve"/>
              <w:br/>
              <w:t xml:space="preserve">de kenmerken van natuurlijke personen en rechtspersonen met elkaar vergelijken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regeling betreffende de naam en de voornaam van een persoon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huidige regeling over de keuze van de naam en de voornaam (o.a. de procedure, de mogelijkheden, de gevolgen) beschrijven en toepassen in een eenvoudige voorbeeldsituatie</w:t>
              <w:br/>
              <w:t xml:space="preserve"/>
              <w:br/>
              <w:t xml:space="preserve">Uit (een onderdeel van) een brochure over de verandering van je naam of voornaam informatie afleiden (vb. toelaatbaarheid, procedure, kosten ...) en gebruiken in een eenvoudige voorbeeldsituatie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wettelijke woonplaats en de verblijfplaats van een persoon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wettelijke woonplaats en verblijfplaats van een persoon beschrijven, met elkaar vergelijken en herkennen in voorbeelden.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nationaliteit van een persoon: de procedures en voorwaarden om de Belgische nationaliteit te verkrijgen</w:t>
              <w:br/>
              <w:t xml:space="preserve"/>
              <w:br/>
              <w:t xml:space="preserve"/>
              <w:br/>
              <w:t xml:space="preserve">de naturalisatie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nationaliteit en naturalisatie beschrijven</w:t>
              <w:br/>
              <w:t xml:space="preserve"/>
              <w:br/>
              <w:t xml:space="preserve">op basis van (een onderdeel van) een brochure over het verkrijgen van de Belgische nationaliteit de basisinformatie afleiden over de wijze en de procedure om de Belgische nationaliteit te verkrijgen en deze informatie in een eenvoudige voorbeeldsituatie toepassen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bekwaamheid van een persoon:</w:t>
            </w:r>
          </w:p>
          <w:p>
            <w:pPr>
              <w:pStyle w:val="ListParagraph"/>
              <w:numPr>
                <w:ilvl w:val="0"/>
                <w:numId w:val="16"/>
              </w:numPr>
            </w:pPr>
            <w:r>
              <w:rPr/>
              <w:t xml:space="preserve">de feitelijke bekwaamheid, de rechtsbekwaamheid en de handelingsbekwaamheid</w:t>
            </w:r>
          </w:p>
          <w:p>
            <w:pPr>
              <w:pStyle w:val="ListParagraph"/>
              <w:numPr>
                <w:ilvl w:val="0"/>
                <w:numId w:val="16"/>
              </w:numPr>
            </w:pPr>
            <w:r>
              <w:rPr/>
              <w:t xml:space="preserve">de bekwaamheid van een minderjarige en het ouderlijk gezag</w:t>
            </w:r>
          </w:p>
          <w:p>
            <w:pPr>
              <w:pStyle w:val="ListParagraph"/>
              <w:numPr>
                <w:ilvl w:val="0"/>
                <w:numId w:val="16"/>
              </w:numPr>
            </w:pPr>
            <w:r>
              <w:rPr/>
              <w:t xml:space="preserve">de bescherming van meerderjarige handelingsonbekwamen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vormen van bekwaamheid beschrijven, met elkaar vergelijken en herkennen in een voorbeeld</w:t>
              <w:br/>
              <w:t xml:space="preserve"/>
              <w:br/>
              <w:t xml:space="preserve">de regeling van de bekwaamheid van een minderjarige  en het ouderlijk gezag beschrijven en gebruiken in een eenvoudige voorbeeldsituatie</w:t>
              <w:br/>
              <w:t xml:space="preserve"/>
              <w:br/>
              <w:t xml:space="preserve">uit een (onderdeel van een) brochure of tekst over de bescherming van handelingsonbekwame personen basisinformatie kunnen afleiden en gebruiken in een eenvoudige voorbeeldsituatie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verschillende samenlevingsvormen:</w:t>
            </w:r>
          </w:p>
          <w:p>
            <w:pPr>
              <w:pStyle w:val="ListParagraph"/>
              <w:numPr>
                <w:ilvl w:val="0"/>
                <w:numId w:val="17"/>
              </w:numPr>
            </w:pPr>
            <w:r>
              <w:rPr/>
              <w:t xml:space="preserve">het huwelijk: voorwaarden, formaliteiten, gevolgen en einde</w:t>
            </w:r>
          </w:p>
          <w:p>
            <w:pPr>
              <w:pStyle w:val="ListParagraph"/>
              <w:numPr>
                <w:ilvl w:val="0"/>
                <w:numId w:val="17"/>
              </w:numPr>
            </w:pPr>
            <w:r>
              <w:rPr/>
              <w:t xml:space="preserve">de wettelijke samenwoning: voorwaarden, formaliteiten, gevolgen en einde</w:t>
            </w:r>
          </w:p>
          <w:p>
            <w:pPr>
              <w:pStyle w:val="ListParagraph"/>
              <w:numPr>
                <w:ilvl w:val="0"/>
                <w:numId w:val="17"/>
              </w:numPr>
            </w:pPr>
            <w:r>
              <w:rPr/>
              <w:t xml:space="preserve">de feitelijke samenwoning: voorwaarden, formaliteiten, gevolgen en einde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drie samenlevingsvormen beschrijven en met elkaar vergelijken</w:t>
              <w:br/>
              <w:t xml:space="preserve"/>
              <w:br/>
              <w:t xml:space="preserve">de regels over de samenlevingsvormen gebruiken in een eenvoudige voorbeeldsituatie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Juridische begrippen in verband met de samenlevingsvormen: ambtenaar van de burgerlijke stand, schijnhuwelijk, echtscheiding door onderling toestemming, echtscheiding door onherstelbare ontwrichting, huwelijksakte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beschrijven, illustreren en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huwelijksvermogen:</w:t>
            </w:r>
          </w:p>
          <w:p>
            <w:pPr>
              <w:pStyle w:val="ListParagraph"/>
              <w:numPr>
                <w:ilvl w:val="0"/>
                <w:numId w:val="18"/>
              </w:numPr>
            </w:pPr>
            <w:r>
              <w:rPr/>
              <w:t xml:space="preserve">het wettelijk stelsel, het stelsel van scheiding der goederen en het stelsel van de algehele gemeenschap</w:t>
            </w:r>
          </w:p>
          <w:p>
            <w:pPr>
              <w:pStyle w:val="ListParagraph"/>
              <w:numPr>
                <w:ilvl w:val="0"/>
                <w:numId w:val="18"/>
              </w:numPr>
            </w:pPr>
            <w:r>
              <w:rPr/>
              <w:t xml:space="preserve">het huwelijkscontract</w:t>
            </w:r>
          </w:p>
          <w:p>
            <w:pPr>
              <w:pStyle w:val="ListParagraph"/>
              <w:numPr>
                <w:ilvl w:val="0"/>
                <w:numId w:val="18"/>
              </w:numPr>
            </w:pPr>
            <w:r>
              <w:rPr/>
              <w:t xml:space="preserve">het huwelijksvermogen en zelfstandigen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huwelijksvermogensstelsels beschrijven en met elkaar vergelijken</w:t>
              <w:br/>
              <w:t xml:space="preserve"/>
              <w:br/>
              <w:t xml:space="preserve">de regels van het huwelijksvermogensrecht gebruiken in een eenvoudige voorbeeldsituatie</w:t>
              <w:br/>
              <w:t xml:space="preserve"/>
              <w:br/>
              <w:t xml:space="preserve">het begrip huwelijkscontract beschrijven</w:t>
              <w:br/>
              <w:t xml:space="preserve"/>
              <w:br/>
              <w:t xml:space="preserve">het belang van het huwelijksvermogensrecht voor zelfstandige verklaren</w:t>
              <w:br/>
              <w:t xml:space="preserve"/>
              <w:br/>
              <w:t xml:space="preserve">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samenlevingscontract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samenlevingscontract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verwantschap:</w:t>
            </w:r>
          </w:p>
          <w:p>
            <w:pPr>
              <w:pStyle w:val="ListParagraph"/>
              <w:numPr>
                <w:ilvl w:val="0"/>
                <w:numId w:val="19"/>
              </w:numPr>
            </w:pPr>
            <w:r>
              <w:rPr/>
              <w:t xml:space="preserve">de bloedverwantschap en de aanverwantschap</w:t>
            </w:r>
          </w:p>
          <w:p>
            <w:pPr>
              <w:pStyle w:val="ListParagraph"/>
              <w:numPr>
                <w:ilvl w:val="0"/>
                <w:numId w:val="19"/>
              </w:numPr>
            </w:pPr>
            <w:r>
              <w:rPr/>
              <w:t xml:space="preserve">de lijn en de graad van verwantschap</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bloedverwant en aanverwant beschrijven, illustreren en herkennen</w:t>
              <w:br/>
              <w:t xml:space="preserve"/>
              <w:br/>
              <w:t xml:space="preserve">op basis van een voorbeeldsituatie (vb. een stamboom) de vorm, de lijn en de graad van de verwantschap tussen twee familieleden bepalen.</w:t>
              <w:br/>
              <w:t xml:space="preserve"/>
              <w:br/>
              <w:t xml:space="preserve">Illustreren dat de vorm, de lijn en de graad van verwantschap in andere rechtstakken of voor andere regelingen van belang zijn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wet op de privacy en de commissie voor de bescherming van de persoonlijke levenssfeer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beschrijven op wie de Wet op de privacy van toepassing is</w:t>
              <w:br/>
              <w:t xml:space="preserve"/>
              <w:br/>
              <w:t xml:space="preserve">beschrijven wat het doel is van de Wet op de privacy</w:t>
              <w:br/>
              <w:t xml:space="preserve"/>
              <w:br/>
              <w:t xml:space="preserve">de taken van de commissie voor de bescherming van de persoonlijke levenssfeer beschrijven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Het goederenrecht</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soorten goederen:</w:t>
            </w:r>
          </w:p>
          <w:p>
            <w:pPr>
              <w:pStyle w:val="ListParagraph"/>
              <w:numPr>
                <w:ilvl w:val="0"/>
                <w:numId w:val="20"/>
              </w:numPr>
            </w:pPr>
            <w:r>
              <w:rPr/>
              <w:t xml:space="preserve">roerende goederen en onroerende goederen</w:t>
            </w:r>
          </w:p>
          <w:p>
            <w:pPr>
              <w:pStyle w:val="ListParagraph"/>
              <w:numPr>
                <w:ilvl w:val="0"/>
                <w:numId w:val="20"/>
              </w:numPr>
            </w:pPr>
            <w:r>
              <w:rPr/>
              <w:t xml:space="preserve">lichamelijke en niet-lichamelijke goederen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roerende en onroerende goederen beschrijven, met elkaar vergelijken en herkennen in voorbeelden</w:t>
              <w:br/>
              <w:t xml:space="preserve"/>
              <w:br/>
              <w:t xml:space="preserve">de begrippen lichamelijke en niet-lichamelijke goederen beschrijven, met elkaar vergelijken en herkennen in voorbeelden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aankoop van een onroerend goed:</w:t>
            </w:r>
          </w:p>
          <w:p>
            <w:pPr>
              <w:pStyle w:val="ListParagraph"/>
              <w:numPr>
                <w:ilvl w:val="0"/>
                <w:numId w:val="21"/>
              </w:numPr>
            </w:pPr>
            <w:r>
              <w:rPr/>
              <w:t xml:space="preserve">de procedure van een online openbare verkoop via de notaris</w:t>
            </w:r>
          </w:p>
          <w:p>
            <w:pPr>
              <w:pStyle w:val="ListParagraph"/>
              <w:numPr>
                <w:ilvl w:val="0"/>
                <w:numId w:val="21"/>
              </w:numPr>
            </w:pPr>
            <w:r>
              <w:rPr/>
              <w:t xml:space="preserve">de procedure van een onderhandse verkoop</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stappen bij een online openbare verkoop van een onroerend goed beschrijven</w:t>
              <w:br/>
              <w:t xml:space="preserve"/>
              <w:br/>
              <w:t xml:space="preserve">de verschillende betrokkenen bij een online openbare verkoop beschrijven en herkennen.</w:t>
              <w:br/>
              <w:t xml:space="preserve"/>
              <w:br/>
              <w:t xml:space="preserve">de verschillende stappen bij een onderhandse verkoop van een onroerend goed beschrijven</w:t>
              <w:br/>
              <w:t xml:space="preserve">de verschillende betrokkenen bij een onderhandse verkoop beschrijven en herkennen</w:t>
              <w:br/>
              <w:t xml:space="preserve"/>
              <w:br/>
              <w:t xml:space="preserve">de belangrijkste documenten bij de verkoop van een onroerend goed herkennen</w:t>
              <w:br/>
              <w:t xml:space="preserve"/>
              <w:br/>
              <w:t xml:space="preserve">de regeling over de aankoop van een onroerend goed toepassen in een eenvoudige voorbeeldsituatie</w:t>
              <w:br/>
              <w:t xml:space="preserve"/>
              <w:br/>
              <w:t xml:space="preserve">uit (een onderdeel van) een brochure of een tekst over de aankoop van een onroerend goed de gevraagde basisinformatie afleiden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juridische begrippen over de aankoop van onroerende goederen: registratierechten, authentieke akte, immokantoor, onderhandse akte of compromis</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beschrijven, illustreren en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eigendomsrecht:</w:t>
            </w:r>
          </w:p>
          <w:p>
            <w:pPr>
              <w:pStyle w:val="ListParagraph"/>
              <w:numPr>
                <w:ilvl w:val="0"/>
                <w:numId w:val="22"/>
              </w:numPr>
            </w:pPr>
            <w:r>
              <w:rPr/>
              <w:t xml:space="preserve">de betekenis van het eigendomsrecht</w:t>
            </w:r>
          </w:p>
          <w:p>
            <w:pPr>
              <w:pStyle w:val="ListParagraph"/>
              <w:numPr>
                <w:ilvl w:val="0"/>
                <w:numId w:val="22"/>
              </w:numPr>
            </w:pPr>
            <w:r>
              <w:rPr/>
              <w:t xml:space="preserve">de wijzen waarop het eigendomsrecht beperkt kan worden: onteigening, mede-eigendom en rechtsmisbruik</w:t>
            </w:r>
          </w:p>
          <w:p>
            <w:pPr>
              <w:pStyle w:val="ListParagraph"/>
              <w:numPr>
                <w:ilvl w:val="0"/>
                <w:numId w:val="22"/>
              </w:numPr>
            </w:pPr>
            <w:r>
              <w:rPr/>
              <w:t xml:space="preserve">de naakte eigendom en het vruchtgebruik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recht op eigendom definiëren</w:t>
              <w:br/>
              <w:t xml:space="preserve"/>
              <w:br/>
              <w:t xml:space="preserve">de inhoud van het eigendomsrecht beschrijven</w:t>
              <w:br/>
              <w:t xml:space="preserve"/>
              <w:br/>
              <w:t xml:space="preserve">de begrippen onteigening, mede-eigendom en rechtsmisbruik van eigendom beschrijven en herkennen in voorbeelden</w:t>
              <w:br/>
              <w:t xml:space="preserve"/>
              <w:br/>
              <w:t xml:space="preserve">de naakte eigendom en het vruchtgebruik beschrijven en de rechten van de naakte eigenaar en de vruchtgebruiker met elkaar vergelijken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erfrecht: </w:t>
              <w:br/>
              <w:t xml:space="preserve"/>
              <w:br/>
              <w:t xml:space="preserve"/>
            </w:r>
          </w:p>
          <w:p>
            <w:pPr>
              <w:pStyle w:val="ListParagraph"/>
              <w:numPr>
                <w:ilvl w:val="0"/>
                <w:numId w:val="23"/>
              </w:numPr>
            </w:pPr>
            <w:r>
              <w:rPr/>
              <w:t xml:space="preserve">de erfgenamen van de 1ste, 2de, 3de en 4de orde</w:t>
            </w:r>
          </w:p>
          <w:p>
            <w:pPr>
              <w:pStyle w:val="ListParagraph"/>
              <w:numPr>
                <w:ilvl w:val="0"/>
                <w:numId w:val="23"/>
              </w:numPr>
            </w:pPr>
            <w:r>
              <w:rPr/>
              <w:t xml:space="preserve">de regels van de wettelijke erfopvolging en het erfect van de langstlevende echtgenoot</w:t>
            </w:r>
          </w:p>
          <w:p>
            <w:r>
              <w:rP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beschrijven wie de erfgenamen van de 1ste, 2de, 3de en 4de orde zijn</w:t>
              <w:br/>
              <w:t xml:space="preserve"/>
              <w:br/>
              <w:t xml:space="preserve">op basis van een eenvoudige familieschets of stamboom en met de hulp van een actueel schema van de erfopvolging de regels van de wettelijke erfopvolging en de het erfrecht van de langstlevende echtgenoot toepassen.</w:t>
              <w:br/>
              <w:t xml:space="preserve"/>
              <w:br/>
              <w:t xml:space="preserve">de begrippen schenking en testament beschrijven en met elkaar vergelijken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schenking en het testament:</w:t>
            </w:r>
          </w:p>
          <w:p>
            <w:pPr>
              <w:pStyle w:val="ListParagraph"/>
              <w:numPr>
                <w:ilvl w:val="0"/>
                <w:numId w:val="24"/>
              </w:numPr>
            </w:pPr>
            <w:r>
              <w:rPr/>
              <w:t xml:space="preserve">de schenking</w:t>
            </w:r>
          </w:p>
          <w:p>
            <w:pPr>
              <w:pStyle w:val="ListParagraph"/>
              <w:numPr>
                <w:ilvl w:val="0"/>
                <w:numId w:val="24"/>
              </w:numPr>
            </w:pPr>
            <w:r>
              <w:rPr/>
              <w:t xml:space="preserve">het testament; de verschillende soorten en de vormvoorwaarden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schenking en het testament beschrijven en met elkaar vergelijken</w:t>
              <w:br/>
              <w:t xml:space="preserve"/>
              <w:br/>
              <w:t xml:space="preserve">de verschillende soorten testamenten opsommen en met elkaar vergelijken</w:t>
              <w:br/>
              <w:t xml:space="preserve"/>
              <w:br/>
              <w:t xml:space="preserve">de regels over het opstellen van een testament toepassen in een eenvoudige voorbeeldsituatie</w:t>
              <w:br/>
              <w:t xml:space="preserve"/>
              <w:br/>
              <w:t xml:space="preserve">uit (een onderdeel van) een brochure of tekst die handelt over erfopvolging, testament en schenking de basisinformatie afleiden en gebruiken in een eenvoudige voorbeeldsituatie</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Overeenkomsten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Inleidende begrippen</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verbintenis en de overeenkomst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verbintenis en overeenkomst definiëren</w:t>
              <w:br/>
              <w:t xml:space="preserve"/>
              <w:br/>
              <w:t xml:space="preserve">de begrippen verbintenis en overeenkomst met elkaar vergelijken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bronnen van een verbintenis: o.a. verbintenis uit overeenkomst, verbintenis uit onrechtmatige daad en verbintenis uit oneigenlijke overeenkomst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verschillende bronnen van verbintenissen illustreren en herkennen in voorbeelden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geldigheidsvoorwaarden voor een overeenkomst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vier geldigheidsvoorwaarden voor een overeenkomst opsommen, illustreren en herkennen in een voorbeeld.</w:t>
              <w:br/>
              <w:t xml:space="preserve"/>
              <w:br/>
              <w:t xml:space="preserve">de regels over de geldigheid van een overeenkomst toepassen in een eenvoudige voorbeeldsituatie</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koopovereenkomst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koopovereenkomst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koopovereenkomst definiëren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levering en de eigendomsoverdracht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begrippen levering en eigendomsoverdracht beschrijven, met elkaar vergelijken en herkennen in voorbeelden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hoofdverplichtingen van de verkoper: de leveringsplicht en de plicht tot vrijwaring tegen uitwinning wegens verborgen gebreken</w:t>
              <w:br/>
              <w:t xml:space="preserve"/>
              <w:br/>
              <w:t xml:space="preserve">de verplichtingen van de koper: de plicht tot het betalen van de prijs en het ontvangen van de goederen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uit een gegeven geschreven koopovereenkomst (vb. verkoop van een tweedehandswagen) informatie over de koper, de verkoper, de rechten en de plichten, de levering, de betaling, de eigendomsoverdracht afleiden.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regeling van de wettelijke garantie bij de aankoop van consumptiegoederen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regeling over de wettelijke garantie bij de aankoop van consumptiegoederen door een professionele verkoper toepassen op een eenvoudige voorbeeldsituatie</w:t>
              <w:br/>
              <w:t xml:space="preserve"/>
              <w:br/>
              <w:t xml:space="preserve">uit de algemene voorwaarden van een koopovereenkomst bij een professionele verkoper de basisinformatie afleiden over de levering, de eigendomsoverdracht, de garantie, de betaling ...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huurovereenkomst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woninghuurovereenkomst, de handelshuurovereenkomst en de huurovereenkomst van gemeen recht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woninghuurovereenkomst definiëren</w:t>
              <w:br/>
              <w:t xml:space="preserve"/>
              <w:br/>
              <w:t xml:space="preserve">het toepassingsgebied van de woninghuurovereenkomst, de handelshuurovereenkomst en de huur van gemeen recht met elkaar vergelijken en herkennen in voorbeelden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rechten en de plichten van de huurder en de verhuurder bij een woninghuurovereenkomst én bij de handelshuurovereenkomst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op basis van een woninghuurovereenkomst of een handelshuurovereenkomst of een (passage uit een) brochure over de woning- of handelshuur basisinformatie  afleiden: over: de gegevens van de huurder en de verhuurder, de informatie van het verhuurde goed, de duur van de overeenkomst, de beëindiging van de huur door de huurder en de verhuurder, de duur van de opzegtermijnen, de indexatie van de huurprijs, de herziening van de huurprijs, de rechten en de plichten van de huurder, de plaatsbeschrijving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juridische begrippen; huurindexatie, herziening van de huurprijs, opzeggen van de huur, plaatsbeschrijving en huurwaarborg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illustreren en herkennen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verzekeringsovereenkomst</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verzekeringsovereenkomst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verzekeringsovereenkomst definiëren</w:t>
              <w:br/>
              <w:t xml:space="preserve"/>
              <w:br/>
              <w:t xml:space="preserve">de betrokken partijen bij een verzekeringsovereenkomst (de verzekerde, de verzekeraar, de verzekeringsnemer en de begunstigde)  herkennen in voorbeelden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persoonsverzekeringen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voor de meest voorkomende persoonsverzekeringen (o.a. hospitalisatieverzekering, ongevallenverzekering) beschrijven en herkennen welk risico ze verzekeren en welke prestatie de verzekeraar moet leveren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schadeverzekeringen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voor de meest voorkomende schadeverzekeringen beschrijven en herkennen welk risico ze verzekeren en beschrijven welke prestatie de verzekeraar moet leveren (o.a. brandverzekering, verzekering burgerlijke aansprakelijkheid gezinsleven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autoverzekeringen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voor de meest voorkomende autoverzekeringen beschrijven en herkennen welk risico ze verzekeren en welke prestatie de verzekeraar moet leveren (o.a. verzekering burgerlijke aansprakelijkheid wagen, omniumverzekering, gedeeltelijke omniumverzekering, bijstand verzekering)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volgende juridische begrippen: verzekeringspolis, verzekeringspremie, franchise, aansprakelijkheid, verzekeringsmakelaar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deze begrippen herkennen</w:t>
              <w:br/>
              <w:t xml:space="preserve"/>
              <w:br/>
              <w:t xml:space="preserve">uit een verzekeringspolis of een gelijkaardig document van een verzekeraar de volgende basisinformatie afleiden:   de gegevens van de partijen, de risico's die de verzekering dekt, de schade die door de verzekering wordt gedekt, de uitzonderingen, de betaling van de premie, het bedrag van de franchise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Het handelsrecht</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De onderneming</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begrip onderneming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begrip onderneming definiëren</w:t>
              <w:br/>
              <w:t xml:space="preserve"/>
              <w:br/>
              <w:t xml:space="preserve">uit een eenvoudige voorbeeldsituatie afleiden of een organisatie een onderneming is of niet</w:t>
              <w:br/>
              <w:t xml:space="preserve"/>
              <w:br/>
              <w:t xml:space="preserve">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bestaande (uitdovende) vennootschapsvormen ( o.a. de naamloze vennootschap, de besloten vennootschap met beperkte aansprakelijkheid)</w:t>
              <w:br/>
              <w:t xml:space="preserve"/>
              <w:br/>
              <w:t xml:space="preserve">de (nieuwe) vennootschapsvormen (o.a. de naamloze vennootschap, de besloten vennootschap, de coöperatieve vennootschap en de maatschap met en zonder rechtspersoonlijkheid)</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bestaande (uitdovende) vennootschappen (bvba, nv, comm.v, cv.) en hun belangrijkste eigenschappen herkennen</w:t>
              <w:br/>
              <w:t xml:space="preserve"/>
              <w:br/>
              <w:t xml:space="preserve">de nieuwe vennootschapsvormen ( de nv, de vc; de bv en de maatschap) en hun belangrijkste eigenschappen herkennen</w:t>
              <w:br/>
              <w:t xml:space="preserve"/>
              <w:br/>
              <w:t xml:space="preserve">op basis van de belangrijkste juridische kenmerken (aantal vennoten, de aansprakelijkheid van de vennoten, de overdraagbaarheid van aandelen, rechtspersoonlijkheid) de nieuwe vennootschapsvormen met elkaar vergelijken</w:t>
              <w:br/>
              <w:t xml:space="preserve"/>
              <w:br/>
              <w:t xml:space="preserve">in een eenvoudige voorbeeldsituatie een keuze maken tussen een van de nieuwe vennootschapsvormen op basis van de juridische kenmerken en deze keuze argumenteren.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zelfstandige zaak of eenmanszaak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kenmerken van de eenmanszaak beschrijven, illustreren en herkennen</w:t>
              <w:br/>
              <w:t xml:space="preserve"/>
              <w:br/>
              <w:t xml:space="preserve">de voordelen en de nadelen van de eenmanszaak opsommen en beschrijven</w:t>
              <w:br/>
              <w:t xml:space="preserve"/>
              <w:br/>
              <w:t xml:space="preserve">in een eenvoudige voorbeeldsituatie de keuze maken tussen een eenmanszaak of een vennootschap en deze keuze argumenteren</w:t>
              <w:br/>
              <w:t xml:space="preserve"/>
              <w:br/>
              <w:t xml:space="preserve">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starten als onderneming:</w:t>
            </w:r>
          </w:p>
          <w:p>
            <w:pPr>
              <w:pStyle w:val="ListParagraph"/>
              <w:numPr>
                <w:ilvl w:val="0"/>
                <w:numId w:val="25"/>
              </w:numPr>
            </w:pPr>
            <w:r>
              <w:rPr/>
              <w:t xml:space="preserve">het ondernemingsloket</w:t>
            </w:r>
          </w:p>
          <w:p>
            <w:pPr>
              <w:pStyle w:val="ListParagraph"/>
              <w:numPr>
                <w:ilvl w:val="0"/>
                <w:numId w:val="25"/>
              </w:numPr>
            </w:pPr>
            <w:r>
              <w:rPr/>
              <w:t xml:space="preserve">de kruispuntbank voor ondernemingen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uit een (onderdeel van een) brochure over de start met een onderneming de basisinformatie afleiden over de voorwaarden om te starten en de formaliteiten</w:t>
              <w:br/>
              <w:t xml:space="preserve"/>
              <w:br/>
              <w:t xml:space="preserve">de taken en het nut van het ondernemingsloket beschrijven</w:t>
              <w:br/>
              <w:t xml:space="preserve"/>
              <w:br/>
              <w:t xml:space="preserve">het nut van de kruispuntbank voor ondernemingen beschrijven</w:t>
              <w:br/>
              <w:t xml:space="preserve"/>
              <w:br/>
              <w:t xml:space="preserve"> </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plichten van de handelaar</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consumentenkrediet: verkoop op afbetaling, leasing, kredietopening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meest voorkomende vormen van consumentenkrediet beschrijven en herkennen in voorbeelden</w:t>
              <w:br/>
              <w:t xml:space="preserve">de nadelen en de gevaren van consumentenkrediet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voorlichting van de consument over het product of de dienst die aangeboden wordt:</w:t>
            </w:r>
          </w:p>
          <w:p>
            <w:pPr>
              <w:pStyle w:val="ListParagraph"/>
              <w:numPr>
                <w:ilvl w:val="0"/>
                <w:numId w:val="26"/>
              </w:numPr>
            </w:pPr>
            <w:r>
              <w:rPr/>
              <w:t xml:space="preserve">benaming</w:t>
            </w:r>
          </w:p>
          <w:p>
            <w:pPr>
              <w:pStyle w:val="ListParagraph"/>
              <w:numPr>
                <w:ilvl w:val="0"/>
                <w:numId w:val="26"/>
              </w:numPr>
            </w:pPr>
            <w:r>
              <w:rPr/>
              <w:t xml:space="preserve">samenstelling</w:t>
            </w:r>
          </w:p>
          <w:p>
            <w:pPr>
              <w:pStyle w:val="ListParagraph"/>
              <w:numPr>
                <w:ilvl w:val="0"/>
                <w:numId w:val="26"/>
              </w:numPr>
            </w:pPr>
            <w:r>
              <w:rPr/>
              <w:t xml:space="preserve">etikettering</w:t>
            </w:r>
          </w:p>
          <w:p>
            <w:pPr>
              <w:pStyle w:val="ListParagraph"/>
              <w:numPr>
                <w:ilvl w:val="0"/>
                <w:numId w:val="26"/>
              </w:numPr>
            </w:pPr>
            <w:r>
              <w:rPr/>
              <w:t xml:space="preserve">prijsaanduiding</w:t>
            </w:r>
          </w:p>
          <w:p>
            <w:pPr>
              <w:pStyle w:val="ListParagraph"/>
              <w:numPr>
                <w:ilvl w:val="0"/>
                <w:numId w:val="26"/>
              </w:numPr>
            </w:pPr>
            <w:r>
              <w:rPr/>
              <w:t xml:space="preserve">hoeveelheidsaanduiding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eisen die de wet stelt over de voorlichting van de consument illustreren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veel voorkomende handelspraktijken; solden, verkopen met verlies, opruiming en solden, verkopen op afstand, gezamelijk aanbod</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meest voorkomende handelspraktijken beschrijven, illustreren met voorbeelden en herkennen.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De rechten van de onderneming</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de ondernemingsrechtbank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bevoegdheden van de rechtbank van de ondernemingsrechtbank beschrijven en illustreren;</w:t>
              <w:br/>
              <w:t xml:space="preserve"/>
              <w:br/>
              <w:t xml:space="preserve">de samenstelling van de ondernemingsrechtbank beschrijven</w:t>
              <w:br/>
              <w:t xml:space="preserve"> </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insolventierecht: het toepassingsgebied en de basisregeling over de periode die de faillissementsprocedure voorafgaat</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doel van de procedure van de gerechtelijke reorganisatie</w:t>
              <w:br/>
              <w:t xml:space="preserve"/>
              <w:br/>
              <w:t xml:space="preserve">de belangrijkste actoren bij de procedure van ondernemingen in moeilijkheden benoemen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het faillissement:</w:t>
            </w:r>
          </w:p>
          <w:p>
            <w:pPr>
              <w:pStyle w:val="ListParagraph"/>
              <w:numPr>
                <w:ilvl w:val="0"/>
                <w:numId w:val="27"/>
              </w:numPr>
            </w:pPr>
            <w:r>
              <w:rPr/>
              <w:t xml:space="preserve">het toepassingsgebied</w:t>
            </w:r>
          </w:p>
          <w:p>
            <w:pPr>
              <w:pStyle w:val="ListParagraph"/>
              <w:numPr>
                <w:ilvl w:val="0"/>
                <w:numId w:val="27"/>
              </w:numPr>
            </w:pPr>
            <w:r>
              <w:rPr/>
              <w:t xml:space="preserve">het verloop van de procedure</w:t>
            </w:r>
          </w:p>
          <w:p>
            <w:pPr>
              <w:pStyle w:val="ListParagraph"/>
              <w:numPr>
                <w:ilvl w:val="0"/>
                <w:numId w:val="27"/>
              </w:numPr>
            </w:pPr>
            <w:r>
              <w:rPr/>
              <w:t xml:space="preserve">de betrokkenen bij de procedure</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beschrijven op wie de faillissementsprocedure van toepassing is</w:t>
              <w:br/>
              <w:t xml:space="preserve"/>
              <w:br/>
              <w:t xml:space="preserve">de belangrijkste stappen in de faillissementsprocedure van het faillissement op een tijdslijn weergeven</w:t>
              <w:br/>
              <w:t xml:space="preserve"/>
              <w:br/>
              <w:t xml:space="preserve">de belangrijkste betrokkenen bij een faillissementsprocedure en hun taken benoemen zoals de gefailleerde, de curator of insolventiefunctionaris en de ondernemingsrechtbank.</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499D1B0A" w14:textId="79267327" w:rsidR="0076163F" w:rsidRDefault="0076163F" w:rsidP="0076163F">
      <w:r w:rsidRPr="003E4776">
        <w:t/>
      </w:r>
      <w:r>
        <w:t>Europese instellingen.jpg</w:t>
      </w:r>
      <w:r w:rsidRPr="003E4776">
        <w:t/>
      </w:r>
    </w:p>
    <w:p w14:paraId="499D1B0A" w14:textId="79267327" w:rsidR="0076163F" w:rsidRDefault="0076163F" w:rsidP="0076163F">
      <w:r w:rsidRPr="003E4776">
        <w:t/>
      </w:r>
      <w:r>
        <w:t>organigram_hoven_en_rechtbanken.pdf</w:t>
      </w:r>
      <w:r w:rsidRPr="003E4776">
        <w:t/>
      </w:r>
    </w:p>
    <w:p w14:paraId="499D1B0A" w14:textId="79267327" w:rsidR="0076163F" w:rsidRDefault="0076163F" w:rsidP="0076163F">
      <w:r w:rsidRPr="003E4776">
        <w:t/>
      </w:r>
      <w:r>
        <w:t>Europa.pdf</w:t>
      </w:r>
      <w:r w:rsidRPr="003E4776">
        <w:t/>
      </w:r>
    </w:p>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100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Voor het vak burgerlijk recht en handelsrecht 3tso zijn de examens digitaal.</w:t>
      </w:r>
    </w:p>
    <w:p>
      <w:pPr>
        <w:jc w:val="both"/>
      </w:pPr>
      <w:r>
        <w:t xml:space="preserve">Vraag je je af hoe een digitaal examen verloopt? Alle info om je voor te bereiden vind je op onze website: www.vlaanderen.be/examencommissie-secundair-onderwijs/voorbereiding.</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w:t>
      </w:r>
    </w:p>
    <w:p>
      <w:pPr>
        <w:jc w:val="both"/>
      </w:pPr>
      <w:r>
        <w:t xml:space="preserve">een balpen</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vragen. Er zijn verschillende vraagtypes: invulvragen, sleepvragen, dropdownvragen, meerkeuzevragen ... Elk vraagtype heeft zijn eigen instructiezin, die duidelijk aangeeft wat je precies moet doen. </w:t>
      </w:r>
    </w:p>
    <w:p>
      <w:pPr>
        <w:jc w:val="both"/>
      </w:pPr>
      <w:r>
        <w:t xml:space="preserve"/>
      </w:r>
    </w:p>
    <w:p>
      <w:pPr>
        <w:jc w:val="both"/>
      </w:pPr>
      <w:r>
        <w:t xml:space="preserve">Het is belangrijk dat je de verschillende vraagtypes vooraf inoefent. Op de website vind je een oefenexamen, waarin je ze kan uitproberen. Uiteraard is dit geen echt examen: de bedoeling is dat je de techniek van de digitale vraagtypes in de vingers krijgt.</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Bij de gesloten vragen gelden volgende regels:</w:t>
      </w:r>
    </w:p>
    <w:p>
      <w:pPr>
        <w:jc w:val="both"/>
      </w:pPr>
      <w:r>
        <w:t xml:space="preserve">- je moet het juiste antwoord aanduiden, slepen of invullen om punten te scoren;</w:t>
      </w:r>
    </w:p>
    <w:p>
      <w:pPr>
        <w:jc w:val="both"/>
      </w:pPr>
      <w:r>
        <w:t xml:space="preserve">- bij sommige vragen kan je een deel van de punten verdienen, als je de vraag gedeeltelijk juist beantwoordt. Bij andere vragen krijg je enkel punten als je de vraag volledig juist beantwoordt. In dat geval staat dit duidelijk aangegeven in de vraag. </w:t>
      </w:r>
    </w:p>
    <w:p>
      <w:pPr>
        <w:jc w:val="both"/>
      </w:pPr>
      <w:r>
        <w:t xml:space="preserve">- er is er geen giscorrectie, dit betekent dat je geen punten verliest bij een fout antwoord.</w:t>
      </w:r>
    </w:p>
    <w:p>
      <w:pPr>
        <w:jc w:val="both"/>
      </w:pPr>
      <w:r>
        <w:t xml:space="preserve"/>
      </w:r>
    </w:p>
    <w:p>
      <w:pPr>
        <w:jc w:val="both"/>
      </w:pPr>
      <w:r>
        <w:t xml:space="preserve">We houden geen rekening met taalfouten, maar juridische begrippen die in de vakfiche voorkomen moet je wel correct kunnen schrijven. Een foute schrijfwijze zal bij dit soort begrippen als een fout antwoord worden gezien.</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Inleidende begrippen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Het personenrecht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Het goederenrecht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Overeenkomsten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Het handelsrecht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w:t>
        <w:br/>
        <w:t xml:space="preserve">Voor het vak burgerlijk recht en handelsrecht bestaat een groot deel van je voorbereiding uit het opzoeken van de meeste recente en correcte informatie. Er zijn immers weinig of geen handboeken voor het secundair onderwijs te vinden waar je de volledige inhoud van deze vakfiche kan vinden. Sommige onderdelen vind je terug in een hoofdstuk van een bepaald onderwerp, andere leerinhouden kan je de best opzoeken op de websites van overheidsinstellingen.</w:t>
        <w:br/>
        <w:t xml:space="preserve">Het actief op zoek gaan naar correcte en recente juridische informatie maakt deel uit van de competenties die we in het vak Burgerlijke en Handelsrecht willen testen.</w:t>
        <w:br/>
        <w:t xml:space="preserve">Hieronder vind je een overzicht een beperkt aantal handboeken, maar het zijn vooral de  websites die je op goede weg kunnen zetten bij het verzamelen van de juiste informatie Ook websites veranderen al eens van naam en van plaats of worden aangepast. Als je niet onmiddellijk op de juiste website terechtkomt, kan je die proberen te vinden via een goede zoekmachine.</w:t>
        <w:br/>
        <w:t xml:space="preserve"> </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Praktisch Burgerlijk Recht</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http://www.vanin.be</w:t>
              <w:br/>
              <w:t xml:space="preserve">Handboek voor het Hoger Onderwijs - bevat meer info dan nodig</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Praktisch Handelsrecht</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http://www.vanin.be</w:t>
              <w:br/>
              <w:t xml:space="preserve">Handboek voor het Hoger Onderwijs - bevat meer info dan nodig</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Handel &amp; Wij</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https://www.plantyn.com</w:t>
              <w:br/>
              <w:t xml:space="preserve">Sommige info kan je vinden in deze boekenreeks. Het niet nodig om de volledige reeks aan te schaffen, maar zoek in de bib enkel onderdelen voor de thema's die je kan gebruiken.</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Thema of leerinhoud</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Website</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Het nationaal recht: Scheiding der machten, de grondwet, de federale en de Vlaamse wetgevende en uitvoerende macht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www.dekamer.be</w:t>
              <w:br/>
              <w:t xml:space="preserve">Bij publicaties &gt; parlementaire infosteekkaarten</w:t>
              <w:br/>
              <w:t xml:space="preserve"/>
              <w:br/>
              <w:t xml:space="preserve">www.dekrachtvanjestem.be</w:t>
              <w:br/>
              <w:t xml:space="preserve">Website gemaakt door het Vlaams parlement met uitgebreide info over de werking van de wetgevende en uitvoerende macht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De rechterlijke macht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www.rechtbanken-tribunaux.be</w:t>
              <w:br/>
              <w:t xml:space="preserve">Website met informatie over alle rechtbanken en gerechtshoven</w:t>
              <w:br/>
              <w:t xml:space="preserve">www.justitie.belgium.be/nl</w:t>
              <w:br/>
              <w:t xml:space="preserve">Website over alle thema's binnen justitie en actuele info rond rechtbanken en procedures</w:t>
              <w:br/>
              <w:t xml:space="preserve"/>
              <w:br/>
              <w:t xml:space="preserve">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De bronnen van het nationaal recht en internationaal recht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https://e-justice.europa.eu/</w:t>
              <w:br/>
              <w:t xml:space="preserve">Europese website met beknopte juridische info over elke lidstaat en info over de Europese Verdragen</w:t>
              <w:br/>
              <w:t xml:space="preserve"/>
              <w:br/>
              <w:t xml:space="preserve">https://european-union.europa.eu/institutions-law-budget/law_nl</w:t>
              <w:br/>
              <w:t xml:space="preserve"/>
              <w:br/>
              <w:t xml:space="preserve">Europese website met de basisprincipes van het Europees Recht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Het personenrecht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www.justitie.belgium.be/nl/themas_en_dossiers/personen_en_gezinnen</w:t>
              <w:br/>
              <w:t xml:space="preserve">Website van het ministerie van Justitie met info over personen en gezinnen, adoptie, nationaliteit,...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Bescherming van de persoonlijke levenssfeer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www.gegevensbeschermingsautoriteit.be</w:t>
              <w:br/>
              <w:t xml:space="preserve">Website van de Belgische dienst die zorgt dat persoonsgegevens zorgvuldig worden gebruikt en beveiligd</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Het goederenrecht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www.notaris.be</w:t>
              <w:br/>
              <w:t xml:space="preserve">Website van de notaris met recente info en brochures over de verkoop van onroerende goederen, het erfrecht, testamenten, vruchtgebruik,... </w:t>
              <w:br/>
              <w:t xml:space="preserve"/>
              <w:br/>
              <w:t xml:space="preserve">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Wonen, huren, kopen</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https://www.vlaanderen.be/wonen-in-vlaanderen</w:t>
              <w:br/>
              <w:t xml:space="preserve">Website over het huren en kopen van een woning in Vlaanderen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De wettelijke garantie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https://economie.fgov.be/nl/themas/consumentenbescherming/garantie/wet-op-de-garantie</w:t>
              <w:br/>
              <w:t xml:space="preserve">Basisregeling betreffende de garantie uitgelegd</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9">
    <w:nsid w:val="0CAA79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0">
    <w:nsid w:val="0CAA7911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1">
    <w:nsid w:val="0CAA7911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2">
    <w:nsid w:val="0CAA79112"/>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3">
    <w:nsid w:val="0CAA79113"/>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4">
    <w:nsid w:val="0CAA79114"/>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5">
    <w:nsid w:val="0CAA79115"/>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6">
    <w:nsid w:val="0CAA79116"/>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7">
    <w:nsid w:val="0CAA791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8">
    <w:nsid w:val="0CAA791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9">
    <w:nsid w:val="0CAA791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0">
    <w:nsid w:val="0CAA7912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1">
    <w:nsid w:val="0CAA7912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2">
    <w:nsid w:val="0CAA79122"/>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3">
    <w:nsid w:val="0CAA79123"/>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4">
    <w:nsid w:val="0CAA79124"/>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5">
    <w:nsid w:val="0CAA79125"/>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26">
    <w:nsid w:val="0CAA79126"/>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