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fysica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Wetenschappen-Wiskunde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 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Om in onze maatschappij bewust, kritisch en op verantwoordelijke wijze te kunnen functioneren, moet je voldoende kennis en vaardigheden bezitten voor vak fysica. Tal van verschijnselen uit je dagelijkse wereld kunnen vanuit deze wetenschapstak worden verklaard. Bijvoorbeeld het opwekken van energie in stoomturbines en kernreactoren, de werking van allerlei gebruikstoestellen (glasvezelkabels voor internetverbinding, gps-lokalisatie, snelheidscontroles in het verkeer...). Weet jij hoe je je best beschermt tegen blikseminslag?</w:t>
        <w:br/>
        <w:t xml:space="preserve"/>
        <w:br/>
        <w:t xml:space="preserve">Maar ook omgekeerd hebben verschillende wetenschappelijke ontwikkelingen uit de fysica een grote invloed op jouw dagelijkse omgeving, denk maar aan de discussies over de veilige berging van nucleair afval, de kernuitstap en onbeperkte WIFI-toegang.</w:t>
        <w:br/>
        <w:t xml:space="preserve"/>
        <w:br/>
        <w:t xml:space="preserve">Het verwerken en beheersen van de leerinhouden en leerdoelen opgenomen in deze vakfiche, heeft tot doel je wetenschappelijke kennis en vaardigheden voor het vak fysica te vergroten.  Op die manier willen we het voor jou mogelijk maken hogere studies aan te vangen, met wetenschappelijke component. Ook zou het je moeten helpen om verantwoorde en bewuste keuzes te maken in het  dagelijkse leven.</w:t>
        <w:br/>
        <w:t xml:space="preserve"/>
        <w:br/>
        <w:t xml:space="preserve">Kijk dan ook verder dan de inhoudelijke leerdoelen. Ga actief aan de slag met de leerstof en wees nieuwsgierig. Zoek extra informatie op over wetenschappers of experimenten om de leerinhouden in hun historische context te plaatsen. We verwachten dat je creatief en kritisch omgaat met de leerinhouden en deze ook verbindt met actuele maatschappelijke ontwikkelingen en uitdagingen.  Sta stil bij de impact van wetenschap en techniek op mens, milieu en maatschappij en daag jezelf uit om hierover standpunten te formuleren.</w:t>
        <w:br/>
        <w:t xml:space="preserve"/>
        <w:br/>
        <w:t xml:space="preserve">Probeer verder je momenten van zelfstudie efficiënt te benutten; plan je werk met de nodige concentratie en zelfdiscipline.</w:t>
        <w:br/>
        <w:t xml:space="preserve"/>
        <w:br/>
        <w:t xml:space="preserve">We wensen je veel succes!</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INLEIDING</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1 ELEKTRICITEIT</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2 ELEKTROMAGNETISME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3 KERNFYSICA</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4 KRACHT EN BEWEGING</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5 ARBEID EN ENERGIE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6 TRILLINGEN EN GOLVEN </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7 ONDERZOEKSOPDRACHT</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INLEIDING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volgende pagina’s wordt beschreven wat je voor de verschillende leerstofonderdelen moet </w:t>
      </w:r>
      <w:r>
        <w:rPr>
          <w:b/>
        </w:rPr>
        <w:t xml:space="preserve">kennen</w:t>
      </w:r>
      <w:r>
        <w:rPr/>
        <w:t xml:space="preserve"> en wat je moet </w:t>
      </w:r>
      <w:r>
        <w:rPr>
          <w:b/>
        </w:rPr>
        <w:t xml:space="preserve">kunnen</w:t>
      </w:r>
      <w:r>
        <w:rPr/>
        <w:t xml:space="preserve"> en </w:t>
      </w:r>
      <w:r>
        <w:rPr>
          <w:b/>
        </w:rPr>
        <w:t xml:space="preserve">doen</w:t>
      </w:r>
      <w:r>
        <w:rPr/>
        <w:t xml:space="preserve"> op het examen om aan te tonen dat je de leerstof voldoende beheerst. Hieronder volgt een lijst met </w:t>
      </w:r>
      <w:r>
        <w:rPr>
          <w:b/>
        </w:rPr>
        <w:t xml:space="preserve">werkwoorden</w:t>
      </w:r>
      <w:r>
        <w:rPr/>
        <w:t xml:space="preserve"> en de betekenis die je daaraan moet verbinden. Neem deze lijst grondig door zodat je op een efficiënte manier met de leerstof aan de slag gaat.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werkwoord</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betekenis</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definiëren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Kennis nauwkeurig en letterlijk weergeven in woorden en formulevorm (waarbij wetenschappelijke terminologie en notatie correct worden toegepast).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Kennis in eigen woorden weergeven (waarbij wetenschappelijke terminologie en notatie correct worden toegepast).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benoemen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wetenschappelijke benaming geven voor een begrip, voorwerp, structuur.</w:t>
              <w:br/>
              <w:t xml:space="preserve"/>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herkennen / situeren / aanduiden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Kennis verbinden aan gepresenteerd materiaal (beeldmateriaal, schema’s, omschrijving).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toelichten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Gegeven informatie (eigen antwoord, afbeelding, tekst) verduidelijken en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afleiden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 gepresenteerde data, tabellen en grafieken relaties en waarden afleiden om een besluit te formuleren.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illustreren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specifiek voorbeeld van een algemeen concept of principe 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verklaren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verklaring geven (oorzaak en gevolg).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Gelijkenissen en verschillen beschrijven tussen twee of meer objecten, structuren, ideeën, problemen, situaties.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berekenen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berekening maken en hierbij correct gebruik maken van wetenschappelijke terminologie, symbolen, SI-eenheden en wetenschappelijke notatie.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toepassen (op/in)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bepaald principe of wet gebruiken om een vraag te beantwoorden of een vraagstuk op te lossen.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grafisch / schematisch weergeven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Gevraagde structuren, processen en chemische reacties weergeven met behulp van grafieken, schema’s, modellen, reactievergelijkingen, tijdschalen.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verband(en) leggen tussen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Verbanden leggen tussen verschillende leerstofonderdelen, ideeën, problemen of situaties.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interpreteren /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Gegevens uit onderzoek, grafieken, schema’s of modellen bewerken, interpreteren en 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beoordelen / 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b/>
              </w:rPr>
              <w:t xml:space="preserve">﻿</w:t>
            </w:r>
            <w:r>
              <w:rPr/>
              <w:t xml:space="preserve">Een standpunt formuleren en met wetenschappelijke argumenten onderbouwen.</w:t>
              <w:br/>
              <w:t xml:space="preserve"/>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opstellen / ontwerpen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(alternatieve) probleemstelling, onderzoeksvraag, onderzoeksmethode of hypothese(n) formuleren.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Bij de verschillende leerstofonderdelen worden '</w:t>
      </w:r>
      <w:r>
        <w:rPr>
          <w:b/>
        </w:rPr>
        <w:t xml:space="preserve">contextgebieden</w:t>
      </w:r>
      <w:r>
        <w:rPr/>
        <w:t xml:space="preserve">’ vermeld. De bedoeling is dat je voor deze thema’s actuele informatie uit verschillende dragers (wetenschap populariserend artikel, videofragment, etc.) kan interpreteren, in verband kan brengen met wetenschap-technologische ontwikkelingen en de heersende maatschappelijke debatten. Op het examen zal je gevraagd worden een persoonlijk standpunt te formuleren op gerichte vragen of stellingen aan de hand van gegeven informatie. Belangrijk is dat je jouw standpunt kan onderbouwen aan de hand van wetenschappelijke argumenten.</w:t>
      </w:r>
    </w:p>
    <w:p>
      <w:r>
        <w:rPr/>
        <w:t xml:space="preserve">Verderop in de vakfiche vind je ook </w:t>
      </w:r>
      <w:r>
        <w:rPr>
          <w:b/>
        </w:rPr>
        <w:t xml:space="preserve">leermiddelen</w:t>
      </w:r>
      <w:r>
        <w:rPr/>
        <w:t xml:space="preserve"> die je kunnen helpen om deze leerstofonderdelen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1 ELEKTRICITEIT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1.1 ELEKTROSTATICA</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elektrische lading</w:t>
              <w:br/>
              <w:t xml:space="preserve"/>
              <w:br/>
              <w:t xml:space="preserve">geleiders en isolatoren</w:t>
              <w:br/>
              <w:t xml:space="preserve"/>
              <w:br/>
              <w:t xml:space="preserve">inductie en polarisatie</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eenheid van lading (Coulomb) definiëren</w:t>
              <w:br/>
              <w:t xml:space="preserve"/>
              <w:br/>
              <w:t xml:space="preserve">het opwekken van lading door wrijving beschrijven en verklaren aan de hand van het atoommodel</w:t>
              <w:br/>
              <w:t xml:space="preserve"/>
              <w:br/>
              <w:t xml:space="preserve">het verschil beschrijven tussen geleiders en isolatoren</w:t>
              <w:br/>
              <w:t xml:space="preserve"/>
              <w:br/>
              <w:t xml:space="preserve">geleiders en isolatoren vergelijken aan de hand van waarnemingen en experimentele gegevens</w:t>
              <w:br/>
              <w:t xml:space="preserve"/>
              <w:br/>
              <w:t xml:space="preserve">de werking beschrijven van een elektroscoop</w:t>
              <w:br/>
              <w:t xml:space="preserve"/>
              <w:br/>
              <w:t xml:space="preserve">de verplaatsing van elektronen tussen geladen voorwerpen verklaren </w:t>
              <w:br/>
              <w:t xml:space="preserve"/>
              <w:br/>
              <w:t xml:space="preserve">de verplaatsing van elektronen binnen geladen voorwerpen verklaren aan de hand van de begrippen elektrische inductie en polarisatie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krachtwerking tussen puntladingen (Wet van Coulomb)</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krachtwerking tussen twee of drie puntladingen op één lijn toelichten en berekenen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radiaal en homogeen elektrisch veld</w:t>
              <w:br/>
              <w:t xml:space="preserve"/>
              <w:br/>
              <w:t xml:space="preserve">potentiele energie in een elektrisch veld</w:t>
              <w:br/>
              <w:t xml:space="preserve"/>
              <w:br/>
              <w:t xml:space="preserve">elektrische veldsterkte</w:t>
              <w:br/>
              <w:t xml:space="preserve"/>
              <w:br/>
              <w:t xml:space="preserve">elektrische potentiaal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veldlijnenpatroon beschrijven rond een puntlading en van een homogeen elektrisch veld </w:t>
              <w:br/>
              <w:t xml:space="preserve"/>
              <w:br/>
              <w:t xml:space="preserve">de veldsterkte berekenen in verschillende punten van een radiaal en homogeen elektrisch veld </w:t>
              <w:br/>
              <w:t xml:space="preserve"/>
              <w:br/>
              <w:t xml:space="preserve">de veldsterkte als vector tekenen in verschillende punten van een radiaal en homogeen elektrisch veld </w:t>
              <w:br/>
              <w:t xml:space="preserve"/>
              <w:br/>
              <w:t xml:space="preserve">de potentiële energie van een puntlading in een homogeen elektrisch veld toelichten en berekenen met behulp van de arbeid die wordt verricht </w:t>
              <w:br/>
              <w:t xml:space="preserve"/>
              <w:br/>
              <w:t xml:space="preserve">het begrip elektrische potentiaal definiëren en toepassen in vraagstukken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1.2 ELEKTRODYNAMICA</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elektrische spanning, stroomsterkte en weerstand</w:t>
              <w:br/>
              <w:t xml:space="preserve"/>
              <w:br/>
              <w:t xml:space="preserve">wet van Ohm</w:t>
              <w:br/>
              <w:t xml:space="preserve"/>
              <w:br/>
              <w:t xml:space="preserve">soortelijke weerstand (resistiviteit)</w:t>
              <w:br/>
              <w:t xml:space="preserve"/>
              <w:br/>
              <w:t xml:space="preserve">serie- en parallelschakelingen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spanning definiëren</w:t>
              <w:br/>
              <w:t xml:space="preserve"/>
              <w:br/>
              <w:t xml:space="preserve">verschillende soorten spanningsbronnen herkennen en van elkaar onderscheiden</w:t>
              <w:br/>
              <w:t xml:space="preserve"/>
              <w:br/>
              <w:t xml:space="preserve">het begrip 'ohmse weerstand’ toelichten aan de hand van het atoommodel</w:t>
              <w:br/>
              <w:t xml:space="preserve"/>
              <w:br/>
              <w:t xml:space="preserve">de factoren benoemen die de weerstand in een draad beïnvloeden</w:t>
              <w:br/>
              <w:t xml:space="preserve"/>
              <w:br/>
              <w:t xml:space="preserve">de soortelijke weerstand in een draad berekenen met behulp van de wet van Pouillet</w:t>
              <w:br/>
              <w:t xml:space="preserve"/>
              <w:br/>
              <w:t xml:space="preserve">het verband tussen spanning, stroomsterkte en weerstand toepassen in een gelijkstroomkring</w:t>
              <w:br/>
              <w:t xml:space="preserve"/>
              <w:br/>
              <w:t xml:space="preserve">de juiste symbolen in elektrische stroomkring herkennen en tekenen</w:t>
              <w:br/>
              <w:t xml:space="preserve"/>
              <w:br/>
              <w:t xml:space="preserve">de stroom- en spanningsverdeling berekenen bij serie- en parallelschakelingen en hierbij de vervangingsweerstand toepassen.</w:t>
              <w:br/>
              <w:t xml:space="preserve"/>
              <w:br/>
              <w:t xml:space="preserve">het gebruik van een ampèremeter en een voltmeter toelichten</w:t>
              <w:br/>
              <w:t xml:space="preserve"/>
              <w:br/>
              <w:t xml:space="preserve">waarnemingen en experimentele gegevens in verband met elektrische schakelingen interpreteren en 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elektrisch vermogen</w:t>
              <w:br/>
              <w:t xml:space="preserve"/>
              <w:br/>
              <w:t xml:space="preserve">rendement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warmteontwikkeling bij een ohmse weerstand verklaren met behulp van het atoommodel</w:t>
              <w:br/>
              <w:t xml:space="preserve"/>
              <w:br/>
              <w:t xml:space="preserve">de warmteontwikkeling bij een ohmse weerstand berekenen</w:t>
              <w:br/>
              <w:t xml:space="preserve"/>
              <w:br/>
              <w:t xml:space="preserve">de eenheid kWh toepassen in vraagstukken</w:t>
              <w:br/>
              <w:t xml:space="preserve"/>
              <w:br/>
              <w:t xml:space="preserve">het elektrisch vermogen berekenen en toepassen in vraagstukken</w:t>
              <w:br/>
              <w:t xml:space="preserve"/>
              <w:br/>
              <w:t xml:space="preserve">het rendement van een elektrisch (huishoud)apparaat evalueren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veilig en verantwoord omgaan met elektrische toestellen en onweer</w:t>
              <w:br/>
              <w:t xml:space="preserve"/>
              <w:br/>
              <w:t xml:space="preserve">toepassingen:</w:t>
            </w:r>
          </w:p>
          <w:p>
            <w:pPr>
              <w:pStyle w:val="ListParagraph"/>
              <w:numPr>
                <w:ilvl w:val="0"/>
                <w:numId w:val="8"/>
              </w:numPr>
            </w:pPr>
            <w:r>
              <w:rPr/>
              <w:t xml:space="preserve">automatische zekering</w:t>
            </w:r>
          </w:p>
          <w:p>
            <w:pPr>
              <w:pStyle w:val="ListParagraph"/>
              <w:numPr>
                <w:ilvl w:val="0"/>
                <w:numId w:val="8"/>
              </w:numPr>
            </w:pPr>
            <w:r>
              <w:rPr/>
              <w:t xml:space="preserve">verliesstroomschakelaar</w:t>
            </w:r>
          </w:p>
          <w:p>
            <w:pPr>
              <w:pStyle w:val="ListParagraph"/>
              <w:numPr>
                <w:ilvl w:val="0"/>
                <w:numId w:val="8"/>
              </w:numPr>
            </w:pPr>
            <w:r>
              <w:rPr/>
              <w:t xml:space="preserve">aarding</w:t>
            </w:r>
          </w:p>
          <w:p>
            <w:pPr>
              <w:pStyle w:val="ListParagraph"/>
              <w:numPr>
                <w:ilvl w:val="0"/>
                <w:numId w:val="8"/>
              </w:numPr>
            </w:pPr>
            <w:r>
              <w:rPr/>
              <w:t xml:space="preserve">batterij</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principes van veiligheid in een elektrische installatie beschrijven</w:t>
              <w:br/>
              <w:t xml:space="preserve"/>
              <w:br/>
              <w:t xml:space="preserve">maatregelen beschrijven om veilig om te gaan met onweer</w:t>
              <w:br/>
              <w:t xml:space="preserve"/>
              <w:br/>
              <w:t xml:space="preserve">de werking van de hiernaast genoemde toepassingen toelichten en schematisch weergeven</w:t>
              <w:br/>
              <w:t xml:space="preserve"/>
              <w:br/>
              <w:t xml:space="preserve">een geschikte batterij kiezen, rekening houdend met de opslag van energie in stoffen, met de ladingscapaciteit op het etiket van de batterij (mAh) en met de kenmerken van de batterij</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2 ELEKTROMAGNETISME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2.1 MAGNETISCH VELD</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magnetisch veld bij permanente magneten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oorsprong van magnetisme in gemagnetiseerd materiaal beschrijven aan de hand van het atoommodel </w:t>
              <w:br/>
              <w:t xml:space="preserve"/>
              <w:br/>
              <w:t xml:space="preserve">de krachtwerking tussen twee permanente magneten illustreren </w:t>
              <w:br/>
              <w:t xml:space="preserve"/>
              <w:br/>
              <w:t xml:space="preserve">de magnetische veldlijnen rond een permanente magneet tekenen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magnetisch veld bij elektromagneten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richting en zin van het magnetisch veld rond een rechte stroomvoerende draad afleiden en toepassen in vraagstukken </w:t>
              <w:br/>
              <w:t xml:space="preserve"/>
              <w:br/>
              <w:t xml:space="preserve">de magnetische veldsterkte berekenen rond een rechte stroomvoerende draad </w:t>
              <w:br/>
              <w:t xml:space="preserve"/>
              <w:br/>
              <w:t xml:space="preserve">de richting en zin van het magnetisch veld in- en rond een spoel afleiden en toepassen in vraagstukken </w:t>
              <w:br/>
              <w:t xml:space="preserve"/>
              <w:br/>
              <w:t xml:space="preserve">de magnetische veldsterkte berekenen in- en rond een spoel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2.2 MAGNETISCHE KRACHTWERKING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krachtwerking van een homogeen magnetisch veld op een geleider met bewegende elektrische ladingen</w:t>
              <w:br/>
              <w:t xml:space="preserve"/>
              <w:br/>
              <w:t xml:space="preserve">toepassingen:</w:t>
            </w:r>
          </w:p>
          <w:p>
            <w:pPr>
              <w:pStyle w:val="ListParagraph"/>
              <w:numPr>
                <w:ilvl w:val="0"/>
                <w:numId w:val="9"/>
              </w:numPr>
            </w:pPr>
            <w:r>
              <w:rPr/>
              <w:t xml:space="preserve">gelijkstroommotor</w:t>
            </w:r>
          </w:p>
          <w:p>
            <w:pPr>
              <w:pStyle w:val="ListParagraph"/>
              <w:numPr>
                <w:ilvl w:val="0"/>
                <w:numId w:val="9"/>
              </w:numPr>
            </w:pPr>
            <w:r>
              <w:rPr/>
              <w:t xml:space="preserve">luidspreker</w:t>
            </w:r>
          </w:p>
          <w:p>
            <w:pPr>
              <w:pStyle w:val="ListParagraph"/>
              <w:numPr>
                <w:ilvl w:val="0"/>
                <w:numId w:val="9"/>
              </w:numPr>
            </w:pPr>
            <w:r>
              <w:rPr/>
              <w:t xml:space="preserve">deeltjesversneller (CERN, LHC)</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Lorentzkracht tekenen als krachtvector </w:t>
              <w:br/>
              <w:t xml:space="preserve"/>
              <w:br/>
              <w:t xml:space="preserve">de Lorentzkracht berekenen in concrete situaties </w:t>
              <w:br/>
              <w:t xml:space="preserve"/>
              <w:br/>
              <w:t xml:space="preserve">de beweging van elektrische ladingen in een magnetisch veld interpreteren en evalueren aan de hand van waarnemingen en experimentele gegevens</w:t>
              <w:br/>
              <w:t xml:space="preserve"/>
              <w:br/>
              <w:t xml:space="preserve">een hypothese formuleren en relevante variabelen aangeven om  een probleemstelling in verband met bewegende ladingen in een magnetisch veld te onderzoeken</w:t>
              <w:br/>
              <w:t xml:space="preserve"/>
              <w:br/>
              <w:t xml:space="preserve">de werking van de hiernaast genoemde toepassingen toelichten en verklaren en het belang voor onze samenleving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2.3 ELEKTROMAGNETISCHE INDUCTIE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wet van Lenz</w:t>
              <w:br/>
              <w:t xml:space="preserve"/>
              <w:br/>
              <w:t xml:space="preserve">inductiewet van Faraday</w:t>
              <w:br/>
              <w:t xml:space="preserve"/>
              <w:br/>
              <w:t xml:space="preserve">magnetische flux</w:t>
              <w:br/>
              <w:t xml:space="preserve"/>
              <w:br/>
              <w:t xml:space="preserve">elektromagnetische inductie</w:t>
              <w:br/>
              <w:t xml:space="preserve"/>
              <w:br/>
              <w:t xml:space="preserve">toepassingen:</w:t>
            </w:r>
          </w:p>
          <w:p>
            <w:pPr>
              <w:pStyle w:val="ListParagraph"/>
              <w:numPr>
                <w:ilvl w:val="0"/>
                <w:numId w:val="10"/>
              </w:numPr>
            </w:pPr>
            <w:r>
              <w:rPr/>
              <w:t xml:space="preserve">fietscomputer</w:t>
            </w:r>
          </w:p>
          <w:p>
            <w:pPr>
              <w:pStyle w:val="ListParagraph"/>
              <w:numPr>
                <w:ilvl w:val="0"/>
                <w:numId w:val="10"/>
              </w:numPr>
            </w:pPr>
            <w:r>
              <w:rPr/>
              <w:t xml:space="preserve">elektrische gitaar</w:t>
            </w:r>
          </w:p>
          <w:p>
            <w:pPr>
              <w:pStyle w:val="ListParagraph"/>
              <w:numPr>
                <w:ilvl w:val="0"/>
                <w:numId w:val="10"/>
              </w:numPr>
            </w:pPr>
            <w:r>
              <w:rPr/>
              <w:t xml:space="preserve">inductieplaat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elektromagnetisch inductieverschijnsel illustreren met een voorbeeld en de wet van Lenz hierbij toepassen</w:t>
              <w:br/>
              <w:t xml:space="preserve"/>
              <w:br/>
              <w:t xml:space="preserve">de magnetische flux berekenen</w:t>
              <w:br/>
              <w:t xml:space="preserve"/>
              <w:br/>
              <w:t xml:space="preserve">de inductiespanning verklaren en berekenen in een geleider die zich in een magnetisch veld beweegt</w:t>
              <w:br/>
              <w:t xml:space="preserve"/>
              <w:br/>
              <w:t xml:space="preserve">de inductiespanning in een spoel onder invloed van een bewegende magneet berekenen</w:t>
              <w:br/>
              <w:t xml:space="preserve"/>
              <w:br/>
              <w:t xml:space="preserve">de werking van de hiernaast genoemde toepassingen toelichten, verklaren en schematisch voorstellen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stroomgenerator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werking van een stroomgenerator toelichten en verklaren </w:t>
              <w:br/>
              <w:t xml:space="preserve"/>
              <w:br/>
              <w:t xml:space="preserve">het begrip wisselspanning toelichten </w:t>
              <w:br/>
              <w:t xml:space="preserve"/>
              <w:br/>
              <w:t xml:space="preserve">de effectieve waarde van de wisselspanning berekenen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transformator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werking van een transformator toelichten en verklaren </w:t>
              <w:br/>
              <w:t xml:space="preserve"/>
              <w:br/>
              <w:t xml:space="preserve">de omzetting van spanning, stroom en vermogen in een transformator toelichten en berekenen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3 KERNFYSICA</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3.1 DE ATOOMKERN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massagetal, aantal neutronen en atoomnummer</w:t>
              <w:br/>
              <w:t xml:space="preserve"/>
              <w:br/>
              <w:t xml:space="preserve">nuclide en isotoop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atoommodel, kernmodel, atoomnummer, aantal neutronen, massagetal en ladingsgetal in verband brengen met elkaar</w:t>
              <w:br/>
              <w:t xml:space="preserve"/>
              <w:br/>
              <w:t xml:space="preserve">een nuclide met de symbolen voor massagetal en atoomnummer noteren</w:t>
              <w:br/>
              <w:t xml:space="preserve"/>
              <w:br/>
              <w:t xml:space="preserve">het begrip isotoop definiëren en illustreren aan de hand van een zelf gekozen voorbeeld</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3.2 RADIOACTIEF VERVAL</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alfa, bèta (β+ en  β-) en gammastraling</w:t>
              <w:br/>
              <w:t xml:space="preserve"/>
              <w:br/>
              <w:t xml:space="preserve">radioactief verval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ontstaan van alfa, bèta en gammastraling verklaren aan de hand van het verval van atoomkernen</w:t>
              <w:br/>
              <w:t xml:space="preserve"/>
              <w:br/>
              <w:t xml:space="preserve">het vervalproces weergeven met een reactie</w:t>
              <w:br/>
              <w:t xml:space="preserve"/>
              <w:br/>
              <w:t xml:space="preserve">het ioniserend en doordringend vermogen van alfa, bèta en gammastraling beschrijven</w:t>
              <w:br/>
              <w:t xml:space="preserve"/>
              <w:br/>
              <w:t xml:space="preserve">methoden beschrijven voor het zichtbaar maken van deeltjes straling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activiteit en halveringstijd</w:t>
              <w:br/>
              <w:t xml:space="preserve"/>
              <w:br/>
              <w:t xml:space="preserve">toepassingen:</w:t>
            </w:r>
          </w:p>
          <w:p>
            <w:pPr>
              <w:pStyle w:val="ListParagraph"/>
              <w:numPr>
                <w:ilvl w:val="0"/>
                <w:numId w:val="11"/>
              </w:numPr>
            </w:pPr>
            <w:r>
              <w:rPr/>
              <w:t xml:space="preserve">verrijkt uranium in kernbrandstof</w:t>
            </w:r>
          </w:p>
          <w:p>
            <w:pPr>
              <w:pStyle w:val="ListParagraph"/>
              <w:numPr>
                <w:ilvl w:val="0"/>
                <w:numId w:val="11"/>
              </w:numPr>
            </w:pPr>
            <w:r>
              <w:rPr/>
              <w:t xml:space="preserve">de C-14 methode</w:t>
            </w:r>
          </w:p>
          <w:p>
            <w:pPr>
              <w:pStyle w:val="ListParagraph"/>
              <w:numPr>
                <w:ilvl w:val="0"/>
                <w:numId w:val="11"/>
              </w:numPr>
            </w:pPr>
            <w:r>
              <w:rPr/>
              <w:t xml:space="preserve">diagnose en therapie in de geneeskunde</w:t>
            </w:r>
          </w:p>
          <w:p>
            <w:pPr>
              <w:pStyle w:val="ListParagraph"/>
              <w:numPr>
                <w:ilvl w:val="0"/>
                <w:numId w:val="11"/>
              </w:numPr>
            </w:pPr>
            <w:r>
              <w:rPr/>
              <w:t xml:space="preserve">jodiumpillen tegen radioactief jodium</w:t>
            </w:r>
          </w:p>
          <w:p>
            <w:pPr>
              <w:pStyle w:val="ListParagraph"/>
              <w:numPr>
                <w:ilvl w:val="0"/>
                <w:numId w:val="11"/>
              </w:numPr>
            </w:pPr>
            <w:r>
              <w:rPr/>
              <w:t xml:space="preserve">radioactieve tracers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halveringstijd  definiëren en het verband aangeven met de activiteit van een radioactieve bron</w:t>
              <w:br/>
              <w:t xml:space="preserve"/>
              <w:br/>
              <w:t xml:space="preserve">de halveringstijd toepassen in vraagstukken</w:t>
              <w:br/>
              <w:t xml:space="preserve"/>
              <w:br/>
              <w:t xml:space="preserve">het verloop van de activiteit in functie van de tijd toelichten en grafisch weergeven</w:t>
              <w:br/>
              <w:t xml:space="preserve"/>
              <w:br/>
              <w:t xml:space="preserve">experimentele gegevens interpreteren en evalueren in verband met de halveringstijd en de activiteit van radioactieve bronnen</w:t>
              <w:br/>
              <w:t xml:space="preserve"/>
              <w:br/>
              <w:t xml:space="preserve">de hiernaast genoemde toepassingen toelichten, verklaren en evalueren op basis van waarnemingen en experimentele gegevens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kernfusie en kernsplitsing</w:t>
              <w:br/>
              <w:t xml:space="preserve"/>
              <w:br/>
              <w:t xml:space="preserve">bindingsenergie</w:t>
              <w:br/>
              <w:t xml:space="preserve"/>
              <w:br/>
              <w:t xml:space="preserve">massadefect</w:t>
              <w:br/>
              <w:t xml:space="preserve"/>
              <w:br/>
              <w:t xml:space="preserve">toepassingen:</w:t>
            </w:r>
          </w:p>
          <w:p>
            <w:pPr>
              <w:pStyle w:val="ListParagraph"/>
              <w:numPr>
                <w:ilvl w:val="0"/>
                <w:numId w:val="12"/>
              </w:numPr>
            </w:pPr>
            <w:r>
              <w:rPr/>
              <w:t xml:space="preserve">kernreactor</w:t>
            </w:r>
          </w:p>
          <w:p>
            <w:pPr>
              <w:pStyle w:val="ListParagraph"/>
              <w:numPr>
                <w:ilvl w:val="0"/>
                <w:numId w:val="12"/>
              </w:numPr>
            </w:pPr>
            <w:r>
              <w:rPr/>
              <w:t xml:space="preserve">kernfusie in de zon (sterren)</w:t>
            </w:r>
          </w:p>
          <w:p>
            <w:pPr>
              <w:pStyle w:val="ListParagraph"/>
              <w:numPr>
                <w:ilvl w:val="0"/>
                <w:numId w:val="12"/>
              </w:numPr>
            </w:pPr>
            <w:r>
              <w:rPr/>
              <w:t xml:space="preserve">kernbommen (A-bom en H-bom)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kernfusie en kernsplitsing vergelijken</w:t>
              <w:br/>
              <w:t xml:space="preserve"/>
              <w:br/>
              <w:t xml:space="preserve">de eenheid elektronvolt (eV) definiëren en toepassen</w:t>
              <w:br/>
              <w:t xml:space="preserve"/>
              <w:br/>
              <w:t xml:space="preserve">de stabiliteit van een atoomkern afleiden aan de hand van gegevens over de bindingsenergie per deeltje</w:t>
              <w:br/>
              <w:t xml:space="preserve"/>
              <w:br/>
              <w:t xml:space="preserve">de energie die vrijkomt bij kernfusie en kernsplitsing berekenen aan de hand van het massadefect</w:t>
              <w:br/>
              <w:t xml:space="preserve"/>
              <w:br/>
              <w:t xml:space="preserve">de hiernaast genoemde toepassingen beschrijven en hiermee de productie van energie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3.3 EFFECTEN OP MENS EN MILIEU</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effecten van ioniserende straling op mens en milieu</w:t>
              <w:br/>
              <w:t xml:space="preserve"/>
              <w:br/>
              <w:t xml:space="preserve">effectieve dosis</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besmetting en bestraling beschrijven en vergelijken </w:t>
              <w:br/>
              <w:t xml:space="preserve"/>
              <w:br/>
              <w:t xml:space="preserve">het begrip effectieve dosis beschrijven </w:t>
              <w:br/>
              <w:t xml:space="preserve"/>
              <w:br/>
              <w:t xml:space="preserve">beschermingsmaatregelen tegen ioniserende straling beschrijven</w:t>
              <w:br/>
              <w:t xml:space="preserve"/>
              <w:br/>
              <w:t xml:space="preserve">de effecten van ioniserende straling op de mens en het milieu interpreteren en evalueren aan de hand van waarnemingen en experimentele gegevens</w:t>
              <w:br/>
              <w:t xml:space="preserve"/>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4 KRACHT EN BEWEGING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4.1 KRACHT</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invloed van de resulterende kracht en van de massa op de bewegingstoestand van een voorwerp</w:t>
              <w:br/>
              <w:t xml:space="preserve"/>
              <w:br/>
              <w:t xml:space="preserve">wetten van Newton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traagheidsbeginsel (eerste wet van Newton) definiëren en toepassen in concrete situaties </w:t>
              <w:br/>
              <w:t xml:space="preserve"/>
              <w:br/>
              <w:t xml:space="preserve">de tweede wet van Newton definiëren en toepassen in concrete situaties</w:t>
              <w:br/>
              <w:t xml:space="preserve"/>
              <w:br/>
              <w:t xml:space="preserve">de derde wet van Newton definiëren en toepassen in concrete situaties</w:t>
              <w:br/>
              <w:t xml:space="preserve"/>
              <w:br/>
              <w:t xml:space="preserve">het verband leggen tussen de resulterende kracht op een voorwerp en zijn bewegingstoestand (snelheid, versnelling, verandering van richting)</w:t>
              <w:br/>
              <w:t xml:space="preserve"/>
              <w:br/>
              <w:t xml:space="preserve">de uitwerking van de wetten van Newton herkennen in gegeven situaties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krachtvectoren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krachtvectoren met verschillende richting en zin samenstellen en hieruit de hoek en de grootte van de resulterende kracht berekenen. </w:t>
              <w:br/>
              <w:t xml:space="preserve"/>
              <w:br/>
              <w:t xml:space="preserve">het samenstellen van krachtvectoren toepassen in vraagstukken</w:t>
              <w:br/>
              <w:t xml:space="preserve"/>
              <w:br/>
              <w:t xml:space="preserve">krachten op een voorwerp ontbinden in componenten en dit toepassen in vraagstukken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gravitatiekracht en zwaartekracht</w:t>
              <w:br/>
              <w:t xml:space="preserve"/>
              <w:br/>
              <w:t xml:space="preserve">normaalkracht en wrijvingskracht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gravitatiekracht en zwaartekracht onderscheiden van elkaar </w:t>
              <w:br/>
              <w:t xml:space="preserve"/>
              <w:br/>
              <w:t xml:space="preserve">de zwaartekracht in verband brengen met de gravitatiekracht en hieruit de veldsterkte van het zwaarteveld afleiden </w:t>
              <w:br/>
              <w:t xml:space="preserve"/>
              <w:br/>
              <w:t xml:space="preserve">de zwaartekracht als vector tekenen en de grootte ervan berekenen in concrete situaties (vrije valbeweging) </w:t>
              <w:br/>
              <w:t xml:space="preserve"/>
              <w:br/>
              <w:t xml:space="preserve">de normaalkracht en de wrijvingskracht als vector tekenen en de grootte ervan berekenen in concrete situaties (horizontaal en hellend vlak) </w:t>
              <w:br/>
              <w:t xml:space="preserve"/>
              <w:br/>
              <w:t xml:space="preserve">krachten berekenen en toepassen om de bewegingstoestand van voorwerpen te verklaren en te evalueren aan de hand van waarnemingen en experimentele gegevens</w:t>
              <w:br/>
              <w:t xml:space="preserve"/>
              <w:br/>
              <w:t xml:space="preserve">een hypothese formuleren en relevante variabelen aangeven om een probleemstelling in verband met krachten en de bewegingstoestand van een voorwerp te onderzoeken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4.2 BEWEGING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eenparig veranderlijke rechtlijnige beweging (EVRB)</w:t>
              <w:br/>
              <w:t xml:space="preserve"/>
              <w:br/>
              <w:t xml:space="preserve">positie, (ogenblikkelijke) snelheid en versnelling</w:t>
              <w:br/>
              <w:t xml:space="preserve"/>
              <w:br/>
              <w:t xml:space="preserve">valbeweging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verschil tussen afgelegde weg en de verplaatsing toelichten in een gegeven situatie </w:t>
              <w:br/>
              <w:t xml:space="preserve"/>
              <w:br/>
              <w:t xml:space="preserve">de EVRB van een voorwerp met- en zonder beginsnelheid beschrijven aan de hand van positie, snelheid en versnelling en hierover vraagstukken oplossen</w:t>
              <w:br/>
              <w:t xml:space="preserve"/>
              <w:br/>
              <w:t xml:space="preserve">de functies x(t)-, v(t) en a(t) van de EVRB grafisch voorstellen, interpreteren en met elkaar in verband brengen.</w:t>
              <w:br/>
              <w:t xml:space="preserve"/>
              <w:br/>
              <w:t xml:space="preserve">de valbeweging beschrijven als een EVRB zonder beginsnelheid en hierover vraagstukken oplossen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horizontale worp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onafhankelijkheid van de horizontale en verticale bewegingen in een horizontale worp toelichten in een gegeven situatie </w:t>
              <w:br/>
              <w:t xml:space="preserve"/>
              <w:br/>
              <w:t xml:space="preserve">de dracht (afstand), de snelheid en de richting van de snelheid berekenen van een voorwerp dat volgens een horizontale worp beweegt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eenparig cirkelvormige beweging (ECB)</w:t>
              <w:br/>
              <w:t xml:space="preserve"/>
              <w:br/>
              <w:t xml:space="preserve">periode en frequentie</w:t>
              <w:br/>
              <w:t xml:space="preserve"/>
              <w:br/>
              <w:t xml:space="preserve">hoeksnelheid, baansnelheid</w:t>
              <w:br/>
              <w:t xml:space="preserve"/>
              <w:br/>
              <w:t xml:space="preserve">centripetale kracht en versnelling</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verband tussen de constante snelheid en de versnelling bij een ECB toelichten </w:t>
              <w:br/>
              <w:t xml:space="preserve"/>
              <w:br/>
              <w:t xml:space="preserve">de periode, frequentie, hoeksnelheid, baansnelheid en centripetale versnelling berekenen van een voorwerp dat een ECB uitvoert </w:t>
              <w:br/>
              <w:t xml:space="preserve"/>
              <w:br/>
              <w:t xml:space="preserve">de richting, zin en grootte van de centripetale kracht berekenen bij een eenparig cirkelvormige beweging</w:t>
              <w:br/>
              <w:t xml:space="preserve"/>
              <w:br/>
              <w:t xml:space="preserve">de beweging van een voorwerp dat een ECB uitvoert verklaren en evalueren aan de hand van waarnemingen en experimentele gegevens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5 ARBEID EN ENERGIE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arbeid</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arbeid berekenen bij een constante kracht die evenwijdig is met de verplaatsing of een hoek maakt met de verplaatsing </w:t>
              <w:br/>
              <w:t xml:space="preserve"/>
              <w:br/>
              <w:t xml:space="preserve">de arbeid op een massa berekenen bij een constante gravitatiekracht, zwaartekracht of veerkracht </w:t>
              <w:br/>
              <w:t xml:space="preserve"/>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wet van behoud van energie</w:t>
              <w:br/>
              <w:t xml:space="preserve"/>
              <w:br/>
              <w:t xml:space="preserve">arbeid-energie theorema</w:t>
              <w:br/>
              <w:t xml:space="preserve"/>
              <w:br/>
              <w:t xml:space="preserve">kinetische energie</w:t>
              <w:br/>
              <w:t xml:space="preserve"/>
              <w:br/>
              <w:t xml:space="preserve">potentiële gravitatie energie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wet van behoud van energie definiëren</w:t>
              <w:br/>
              <w:t xml:space="preserve"/>
              <w:br/>
              <w:t xml:space="preserve">de wet van behoud van energie toepassen in vraagstukken</w:t>
              <w:br/>
              <w:t xml:space="preserve"/>
              <w:br/>
              <w:t xml:space="preserve">het verband tussen arbeid en de verandering van de kinetische energie van een voorwerp (arbeid-energie theorema) toepassen in vraagstukken  </w:t>
              <w:br/>
              <w:t xml:space="preserve"/>
              <w:br/>
              <w:t xml:space="preserve">de verschillende energievormen herkennen en toepassen in vraagstukken</w:t>
              <w:br/>
              <w:t xml:space="preserve"/>
              <w:br/>
              <w:t xml:space="preserve">het effect van energieomzettingen op de beweging van een voorwerp verklaren en evalueren aan de hand van waarnemingen en experimentele gegevens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rendement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rendement van een energieomzetting berekenen </w:t>
              <w:br/>
              <w:t xml:space="preserve"/>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b/>
              </w:rPr>
              <w:t xml:space="preserve">CONTEXT</w:t>
            </w:r>
            <w:r>
              <w:rPr/>
              <w:t xml:space="preserve">: energiegebruik en duurzame energie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 de hand van gepresenteerde informatie een onderbouwd standpunt formuleren op gerichte vragen of stellingen in verband met energiegebruik en duurzame energie (zoals het debat over kernenergie, innovaties in de transportsector, gebruik van aardwarmte in de woningbouw)</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6 TRILLINGEN EN GOLVEN </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6.1 HARMONISCHE TRILLING</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basisbegrippen van harmonische trillingen:</w:t>
              <w:br/>
              <w:t xml:space="preserve"/>
              <w:br/>
              <w:t xml:space="preserve"/>
            </w:r>
          </w:p>
          <w:p>
            <w:pPr>
              <w:pStyle w:val="ListParagraph"/>
              <w:numPr>
                <w:ilvl w:val="0"/>
                <w:numId w:val="13"/>
              </w:numPr>
            </w:pPr>
            <w:r>
              <w:rPr/>
              <w:t xml:space="preserve">frequentie</w:t>
            </w:r>
          </w:p>
          <w:p>
            <w:pPr>
              <w:pStyle w:val="ListParagraph"/>
              <w:numPr>
                <w:ilvl w:val="0"/>
                <w:numId w:val="13"/>
              </w:numPr>
            </w:pPr>
            <w:r>
              <w:rPr/>
              <w:t xml:space="preserve">periode</w:t>
            </w:r>
          </w:p>
          <w:p>
            <w:pPr>
              <w:pStyle w:val="ListParagraph"/>
              <w:numPr>
                <w:ilvl w:val="0"/>
                <w:numId w:val="13"/>
              </w:numPr>
            </w:pPr>
            <w:r>
              <w:rPr/>
              <w:t xml:space="preserve">amplitude</w:t>
            </w:r>
          </w:p>
          <w:p>
            <w:pPr>
              <w:pStyle w:val="ListParagraph"/>
              <w:numPr>
                <w:ilvl w:val="0"/>
                <w:numId w:val="13"/>
              </w:numPr>
            </w:pPr>
            <w:r>
              <w:rPr/>
              <w:t xml:space="preserve">faseverschil en pulsatie</w:t>
            </w:r>
          </w:p>
          <w:p>
            <w:r>
              <w:rPr/>
              <w:t xml:space="preserve"/>
              <w:br/>
              <w:t xml:space="preserve"/>
              <w:br/>
              <w:t xml:space="preserve"/>
              <w:br/>
              <w:t xml:space="preserve">grafische en wiskundige voorstelling van een harmonische trilling (trillingsvergelijking)</w:t>
              <w:br/>
              <w:t xml:space="preserve"/>
              <w:br/>
              <w:t xml:space="preserve"/>
              <w:br/>
              <w:t xml:space="preserve">snelheid en versnelling van een trillend voorwerp</w:t>
              <w:br/>
              <w:t xml:space="preserve"> </w:t>
              <w:br/>
              <w:t xml:space="preserve"> behoud van energie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amplitude, de periode en de frequentie van een harmonische trilling beschrijven en berekenen</w:t>
              <w:br/>
              <w:t xml:space="preserve"/>
              <w:br/>
              <w:t xml:space="preserve">de uitwijking van een harmonisch trillend voorwerp in functie van de tijd grafisch voorstellen</w:t>
              <w:br/>
              <w:t xml:space="preserve"/>
              <w:br/>
              <w:t xml:space="preserve">de uitwijking van een trillend voorwerp berekenen aan de hand van de trillingsvergelijking</w:t>
              <w:br/>
              <w:t xml:space="preserve"/>
              <w:br/>
              <w:t xml:space="preserve">de snelheids- en de versnellingsvergelijking van een harmonisch trillend voorwerp wiskundig afleiden uit de trillingsvergelijking</w:t>
              <w:br/>
              <w:t xml:space="preserve"/>
              <w:br/>
              <w:t xml:space="preserve">de wet van behoud van energie toepassen op een harmonisch trillend voorwerp</w:t>
              <w:br/>
              <w:t xml:space="preserve"/>
              <w:br/>
              <w:t xml:space="preserve">de beweging van een trillend voorwerp verklaren en evalueren aan de hand van waarnemingen en experimentele gegevens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toepassingen:</w:t>
            </w:r>
          </w:p>
          <w:p>
            <w:pPr>
              <w:pStyle w:val="ListParagraph"/>
              <w:numPr>
                <w:ilvl w:val="0"/>
                <w:numId w:val="14"/>
              </w:numPr>
            </w:pPr>
            <w:r>
              <w:rPr/>
              <w:t xml:space="preserve">slinger</w:t>
            </w:r>
          </w:p>
          <w:p>
            <w:pPr>
              <w:pStyle w:val="ListParagraph"/>
              <w:numPr>
                <w:ilvl w:val="0"/>
                <w:numId w:val="14"/>
              </w:numPr>
            </w:pPr>
            <w:r>
              <w:rPr/>
              <w:t xml:space="preserve">massa-veer systeem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harmonische beweging van de hiernaast genoemde toepassingen verklaren aan de hand van de grootte en de zin van de terugroepkracht</w:t>
              <w:br/>
              <w:t xml:space="preserve"/>
              <w:br/>
              <w:t xml:space="preserve">de verschillende grootheden die de beweging van deze toepassingen beschrijven (frequentie, amplitude etc.) toelichten en berekenen</w:t>
              <w:br/>
              <w:t xml:space="preserve"/>
              <w:br/>
              <w:t xml:space="preserve">de periodieke beweging van deze toepassingen verklaren en evalueren aan de hand van waarnemingen en experimentele gegevens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6.2 GOLVEN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soorten golven:</w:t>
              <w:br/>
              <w:t xml:space="preserve"/>
              <w:br/>
              <w:t xml:space="preserve"/>
            </w:r>
          </w:p>
          <w:p>
            <w:pPr>
              <w:pStyle w:val="ListParagraph"/>
              <w:numPr>
                <w:ilvl w:val="0"/>
                <w:numId w:val="15"/>
              </w:numPr>
            </w:pPr>
            <w:r>
              <w:rPr/>
              <w:t xml:space="preserve">mechanische en EM-golven</w:t>
            </w:r>
          </w:p>
          <w:p>
            <w:pPr>
              <w:pStyle w:val="ListParagraph"/>
              <w:numPr>
                <w:ilvl w:val="0"/>
                <w:numId w:val="15"/>
              </w:numPr>
            </w:pPr>
            <w:r>
              <w:rPr/>
              <w:t xml:space="preserve">transversale en longitudinale golven</w:t>
            </w:r>
          </w:p>
          <w:p>
            <w:r>
              <w:rPr/>
              <w:t xml:space="preserve"/>
              <w:br/>
              <w:t xml:space="preserve"/>
              <w:br/>
              <w:t xml:space="preserve"/>
              <w:br/>
              <w:t xml:space="preserve">golfvergelijking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mechanische en elektromagnetische (EM) -golven beschrijven en onderscheiden van elkaar</w:t>
              <w:br/>
              <w:t xml:space="preserve"/>
              <w:br/>
              <w:t xml:space="preserve">transversale en longitudinale golven onderscheiden van elkaar</w:t>
              <w:br/>
              <w:t xml:space="preserve"/>
              <w:br/>
              <w:t xml:space="preserve">de voortplantingssnelheid, de frequentie, de golflengte en de uitwijking in een lopende golf berekenen</w:t>
              <w:br/>
              <w:t xml:space="preserve"/>
              <w:br/>
              <w:t xml:space="preserve">de golfvergelijking toepassen om de beweging van een golf te interpreteren en evalueren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principe van Huygens</w:t>
              <w:br/>
              <w:t xml:space="preserve"/>
              <w:br/>
              <w:t xml:space="preserve">eigenschappen van lopende golven:</w:t>
            </w:r>
          </w:p>
          <w:p>
            <w:pPr>
              <w:pStyle w:val="ListParagraph"/>
              <w:numPr>
                <w:ilvl w:val="0"/>
                <w:numId w:val="16"/>
              </w:numPr>
            </w:pPr>
            <w:r>
              <w:rPr/>
              <w:t xml:space="preserve">resonantie</w:t>
            </w:r>
          </w:p>
          <w:p>
            <w:pPr>
              <w:pStyle w:val="ListParagraph"/>
              <w:numPr>
                <w:ilvl w:val="0"/>
                <w:numId w:val="16"/>
              </w:numPr>
            </w:pPr>
            <w:r>
              <w:rPr/>
              <w:t xml:space="preserve">terugkaatsing</w:t>
            </w:r>
          </w:p>
          <w:p>
            <w:pPr>
              <w:pStyle w:val="ListParagraph"/>
              <w:numPr>
                <w:ilvl w:val="0"/>
                <w:numId w:val="16"/>
              </w:numPr>
            </w:pPr>
            <w:r>
              <w:rPr/>
              <w:t xml:space="preserve">buiging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hiernaast genoemde eigenschappen van golven herkennen in een gegeven situatie en illustreren aan de hand van een zelfgekozen voorbeeld</w:t>
              <w:br/>
              <w:t xml:space="preserve"/>
              <w:br/>
              <w:t xml:space="preserve">het principe van Huygens toepassen om deze eigenschappen te verklaren</w:t>
              <w:br/>
              <w:t xml:space="preserve"/>
              <w:br/>
              <w:t xml:space="preserve">de hiernaast genoemde toepassingen interpreteren en evalueren aan de hand van waarnemingen en experimentele gegevens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6.3 GELUID</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eigenschappen van geluidsgolven</w:t>
              <w:br/>
              <w:t xml:space="preserve"/>
              <w:br/>
              <w:t xml:space="preserve">toepassing:</w:t>
            </w:r>
          </w:p>
          <w:p>
            <w:pPr>
              <w:pStyle w:val="ListParagraph"/>
              <w:numPr>
                <w:ilvl w:val="0"/>
                <w:numId w:val="17"/>
              </w:numPr>
            </w:pPr>
            <w:r>
              <w:rPr/>
              <w:t xml:space="preserve">SONAR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golfeigenschappen van geluid beschrijven  </w:t>
              <w:br/>
              <w:t xml:space="preserve"/>
              <w:br/>
              <w:t xml:space="preserve">de eigenschappen van geluid toepassen om vraagstukken op te lossen </w:t>
              <w:br/>
              <w:t xml:space="preserve"/>
              <w:br/>
              <w:t xml:space="preserve">de afstandsmeting door middel van SONAR toelichten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toonhoogte en klank</w:t>
              <w:br/>
              <w:t xml:space="preserve"/>
              <w:br/>
              <w:t xml:space="preserve">staande golven in muziekinstrumenten:</w:t>
            </w:r>
          </w:p>
          <w:p>
            <w:pPr>
              <w:pStyle w:val="ListParagraph"/>
              <w:numPr>
                <w:ilvl w:val="0"/>
                <w:numId w:val="18"/>
              </w:numPr>
            </w:pPr>
            <w:r>
              <w:rPr/>
              <w:t xml:space="preserve">snaarinstrumenten</w:t>
            </w:r>
          </w:p>
          <w:p>
            <w:pPr>
              <w:pStyle w:val="ListParagraph"/>
              <w:numPr>
                <w:ilvl w:val="0"/>
                <w:numId w:val="18"/>
              </w:numPr>
            </w:pPr>
            <w:r>
              <w:rPr/>
              <w:t xml:space="preserve">blaasinstrumenten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toonhoogte en klank in verband brengen met golfeigenschappen </w:t>
              <w:br/>
              <w:t xml:space="preserve"/>
              <w:br/>
              <w:t xml:space="preserve">het ontstaan van staande golf verklaren in een muziekinstrument</w:t>
              <w:br/>
              <w:t xml:space="preserve"/>
              <w:br/>
              <w:t xml:space="preserve">de toonhoogte in een muziekinstrument verklaren aan de hand van eigenschappen van staande golven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geluidssterkte en geluidsintensiteit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geluidssterkte in verband brengen met golfeigenschappen </w:t>
              <w:br/>
              <w:t xml:space="preserve"/>
              <w:br/>
              <w:t xml:space="preserve">de geluidsintensiteit en het geluidsniveau met elkaar in verband brengen en toepassen in vraagstukken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b/>
              </w:rPr>
              <w:t xml:space="preserve">CONTEXT</w:t>
            </w:r>
            <w:r>
              <w:rPr/>
              <w:t xml:space="preserve">: geluidsoverlast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 de hand van gepresenteerde informatie een onderbouwd standpunt formuleren op gerichte vragen of stellingen in verband met geluidsoverlast en het effect op de maatschappij (zoals het spreidingsplan Zaventem, de EU volumebegrenzing op muziekspelers, oor-bescherming tijdens popconcerten)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6.4 LICHT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licht en het EM-spectrum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eigenschappen van de gebieden in het elektromagnetisch spectrum beschrijven en mogelijke bronnen en toepassingen van EM straling  benoemen</w:t>
              <w:br/>
              <w:t xml:space="preserve"/>
              <w:br/>
              <w:t xml:space="preserve">beschermingsmaatregelen beschrijven om veilig en verantwoord om te gaan met EM-straling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interferentie (experiment van Young)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experiment van Young beschrijven en hierin de interferentiepatronen van licht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foto-elektrisch effect</w:t>
              <w:br/>
              <w:t xml:space="preserve"/>
              <w:br/>
              <w:t xml:space="preserve">dualiteit golf-deeltje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foto-elektrisch effect toelichten aan de hand van de werking van een zonnecel</w:t>
              <w:br/>
              <w:t xml:space="preserve"/>
              <w:br/>
              <w:t xml:space="preserve">de dualiteit van licht beschrijven als golf en als deeltje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7 ONDERZOEKSOPDRACHT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de wetenschappelijke vakken moet een onderzoeksopdracht worden uitgevoerd. Deze opdracht wordt voor elk examen aan één wetenschapsvak gekoppeld (aardrijkskunde, biologie, chemie of fysica). Voor de geldigheidsduur van deze vakfiche is de opdracht gekoppeld aan het vak </w:t>
      </w:r>
      <w:r>
        <w:rPr>
          <w:b/>
        </w:rPr>
        <w:t xml:space="preserve">biologie</w:t>
      </w:r>
      <w:r>
        <w:rPr/>
        <w:t xml:space="preserve">. Voor de vakken chemie, fysica en aardrijkskunde hoeft op dit moment geen onderzoeksopdracht te worden uitgevoerd.</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je oriënteren op een onderzoeksprobleem door gericht informatie</w:t>
            </w:r>
          </w:p>
          <w:p>
            <w:pPr>
              <w:pStyle w:val="ListParagraph"/>
              <w:numPr>
                <w:ilvl w:val="0"/>
                <w:numId w:val="19"/>
              </w:numPr>
            </w:pPr>
            <w:r>
              <w:rPr/>
              <w:t xml:space="preserve">te verzamelen</w:t>
            </w:r>
          </w:p>
          <w:p>
            <w:pPr>
              <w:pStyle w:val="ListParagraph"/>
              <w:numPr>
                <w:ilvl w:val="0"/>
                <w:numId w:val="19"/>
              </w:numPr>
            </w:pPr>
            <w:r>
              <w:rPr/>
              <w:t xml:space="preserve">te ordenen</w:t>
            </w:r>
          </w:p>
          <w:p>
            <w:pPr>
              <w:pStyle w:val="ListParagraph"/>
              <w:numPr>
                <w:ilvl w:val="0"/>
                <w:numId w:val="19"/>
              </w:numPr>
            </w:pPr>
            <w:r>
              <w:rPr/>
              <w:t xml:space="preserve">te bewerken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uit een wetenschappelijke bron</w:t>
            </w:r>
          </w:p>
          <w:p>
            <w:pPr>
              <w:pStyle w:val="ListParagraph"/>
              <w:numPr>
                <w:ilvl w:val="0"/>
                <w:numId w:val="20"/>
              </w:numPr>
            </w:pPr>
            <w:r>
              <w:rPr/>
              <w:t xml:space="preserve">opzoeken</w:t>
            </w:r>
          </w:p>
          <w:p>
            <w:pPr>
              <w:pStyle w:val="ListParagraph"/>
              <w:numPr>
                <w:ilvl w:val="0"/>
                <w:numId w:val="20"/>
              </w:numPr>
            </w:pPr>
            <w:r>
              <w:rPr/>
              <w:t xml:space="preserve">raadplegen</w:t>
            </w:r>
          </w:p>
          <w:p>
            <w:pPr>
              <w:pStyle w:val="ListParagraph"/>
              <w:numPr>
                <w:ilvl w:val="0"/>
                <w:numId w:val="20"/>
              </w:numPr>
            </w:pPr>
            <w:r>
              <w:rPr/>
              <w:t xml:space="preserve">rangschikken</w:t>
            </w:r>
          </w:p>
          <w:p>
            <w:pPr>
              <w:pStyle w:val="ListParagraph"/>
              <w:numPr>
                <w:ilvl w:val="0"/>
                <w:numId w:val="20"/>
              </w:numPr>
            </w:pPr>
            <w:r>
              <w:rPr/>
              <w:t xml:space="preserve">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 onderzoeksopdracht in verband met het studiedomein</w:t>
            </w:r>
          </w:p>
          <w:p>
            <w:pPr>
              <w:pStyle w:val="ListParagraph"/>
              <w:numPr>
                <w:ilvl w:val="0"/>
                <w:numId w:val="21"/>
              </w:numPr>
            </w:pPr>
            <w:r>
              <w:rPr/>
              <w:t xml:space="preserve">voorbereiden</w:t>
            </w:r>
          </w:p>
          <w:p>
            <w:pPr>
              <w:pStyle w:val="ListParagraph"/>
              <w:numPr>
                <w:ilvl w:val="0"/>
                <w:numId w:val="21"/>
              </w:numPr>
            </w:pPr>
            <w:r>
              <w:rPr/>
              <w:t xml:space="preserve">uitvoeren</w:t>
            </w:r>
          </w:p>
          <w:p>
            <w:pPr>
              <w:pStyle w:val="ListParagraph"/>
              <w:numPr>
                <w:ilvl w:val="0"/>
                <w:numId w:val="21"/>
              </w:numPr>
            </w:pPr>
            <w:r>
              <w:rPr/>
              <w:t xml:space="preserve">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onderwerp verkennen</w:t>
              <w:br/>
              <w:t xml:space="preserve"/>
              <w:br/>
              <w:t xml:space="preserve">een hoofdvraag (of probleemstelling) en deelvraag of deelvragen formuleren</w:t>
              <w:br/>
              <w:t xml:space="preserve"/>
              <w:br/>
              <w:t xml:space="preserve">een werkplan met onderzoeks- en tijdsplan opmaken</w:t>
              <w:br/>
              <w:t xml:space="preserve"/>
              <w:br/>
              <w:t xml:space="preserve">een werkplan uitvoeren:</w:t>
              <w:br/>
              <w:t xml:space="preserve"/>
              <w:br/>
              <w:t xml:space="preserve"/>
            </w:r>
          </w:p>
          <w:p>
            <w:pPr>
              <w:pStyle w:val="ListParagraph"/>
              <w:numPr>
                <w:ilvl w:val="0"/>
                <w:numId w:val="22"/>
              </w:numPr>
            </w:pPr>
            <w:r>
              <w:rPr/>
              <w:t xml:space="preserve">informatie verzamelen in functie van de deelvraag en op basis van verschillende informatiebronnen (bv. literatuur, documenten, databestanden via deskresearch, enquête, interview, waarneming of observatie, (labo)experiment, waarneming, media);</w:t>
            </w:r>
          </w:p>
          <w:p>
            <w:pPr>
              <w:pStyle w:val="ListParagraph"/>
              <w:numPr>
                <w:ilvl w:val="0"/>
                <w:numId w:val="22"/>
              </w:numPr>
            </w:pPr>
            <w:r>
              <w:rPr/>
              <w:t xml:space="preserve">informatie beoordelen en verwerken en daaruit een conclusie trekken;</w:t>
            </w:r>
          </w:p>
          <w:p>
            <w:r>
              <w:rPr/>
              <w:t xml:space="preserve">een conclusie of de onderzoeksresultaten rapporteren door een intellectueel eerlijk, gestructureerd en foutloos onderzoeksverslag met korte samenvatting te schrijven volgens de vastgelegde structuur</w:t>
              <w:br/>
              <w:t xml:space="preserve"/>
              <w:br/>
              <w:t xml:space="preserve">een correcte bronvermelding opstellen volgens de regels van de bronvermelding</w:t>
              <w:br/>
              <w:t xml:space="preserve"/>
              <w:br/>
              <w:t xml:space="preserve">je onderzoek evalueren en over je eigen werk en de aanpak van de onderzoeksopdracht reflecteren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onderzoeksresultaten en conclusies rapporteren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onderzoeksverslag opstellen volgens de vastgelegde structuur: titelpagina, voorwoord, inhoudsopgave, samenvatting, inleiding, kerntekst, conclusie, bronnenlijst en bijlage(n)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Bijlagen_FYS3A.pdf</w:t>
      </w:r>
      <w:r w:rsidRPr="003E4776">
        <w:t/>
      </w:r>
    </w:p>
    <w:p w14:paraId="499D1B0A" w14:textId="79267327" w:rsidR="0076163F" w:rsidRDefault="0076163F" w:rsidP="0076163F">
      <w:r w:rsidRPr="003E4776">
        <w:t/>
      </w:r>
      <w:r>
        <w:t>Bijlage Periodiek systeem.pdf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Tijdens het examen stellen we 4 GeoGebra apps ter beschikking:</w:t>
      </w:r>
    </w:p>
    <w:p>
      <w:pPr>
        <w:jc w:val="both"/>
      </w:pPr>
      <w:r>
        <w:t xml:space="preserve">- wetenschappelijke rekenmachine: https://www.geogebra.org/calculator</w:t>
      </w:r>
    </w:p>
    <w:p>
      <w:pPr>
        <w:jc w:val="both"/>
      </w:pPr>
      <w:r>
        <w:t xml:space="preserve">- grafische rekenmachine: https://examencommissiesecundaironderwijs.be/rekenapps</w:t>
      </w:r>
    </w:p>
    <w:p>
      <w:pPr>
        <w:jc w:val="both"/>
      </w:pPr>
      <w:r>
        <w:t xml:space="preserve">- rekenblad: https://examencommissiesecundaironderwijs.be/rekenapps</w:t>
      </w:r>
    </w:p>
    <w:p>
      <w:pPr>
        <w:jc w:val="both"/>
      </w:pPr>
      <w:r>
        <w:t xml:space="preserve">- statistiek en matrices: https://examencommissiesecundaironderwijs.be/rekenapps</w:t>
      </w:r>
    </w:p>
    <w:p>
      <w:pPr>
        <w:jc w:val="both"/>
      </w:pPr>
      <w:r>
        <w:t xml:space="preserve"/>
      </w:r>
    </w:p>
    <w:p>
      <w:pPr>
        <w:jc w:val="both"/>
      </w:pPr>
      <w:r>
        <w:t xml:space="preserve">Je kan er thuis op voorhand vrij mee oefenen. Gebruik deze handleiding: https://wiki.geogebra.org/nl/Handleiding.</w:t>
      </w:r>
    </w:p>
    <w:p>
      <w:pPr>
        <w:jc w:val="both"/>
      </w:pPr>
      <w:r>
        <w:t xml:space="preserve">Neem zeker een kijkje in de lijst van beschikbare commando’s in GeoGebra: https://wiki.geogebra.org/nl/Categorie:Commando%27s.</w:t>
      </w:r>
    </w:p>
    <w:p>
      <w:pPr>
        <w:jc w:val="both"/>
      </w:pPr>
      <w:r>
        <w:t xml:space="preserve"/>
      </w:r>
    </w:p>
    <w:p>
      <w:pPr>
        <w:jc w:val="both"/>
      </w:pPr>
      <w:r>
        <w:t xml:space="preserve">Let op!</w:t>
      </w:r>
    </w:p>
    <w:p>
      <w:pPr>
        <w:jc w:val="both"/>
      </w:pPr>
      <w:r>
        <w:t xml:space="preserve">Op het examen zelf kan je de handleiding en de lijst van commando’s niet gebruiken.</w:t>
      </w:r>
    </w:p>
    <w:p>
      <w:pPr>
        <w:jc w:val="both"/>
      </w:pPr>
      <w:r>
        <w:t xml:space="preserve"/>
      </w:r>
    </w:p>
    <w:p>
      <w:pPr>
        <w:jc w:val="both"/>
      </w:pPr>
      <w:r>
        <w:t xml:space="preserve">Een gsm, tablet of smartphone zijn niet toegelaten om te rekenen. Bovendien stellen we geen rekentoestellen ter beschikking.</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Een balpen, een geodriehoek, kladpapier.</w:t>
      </w:r>
    </w:p>
    <w:p>
      <w:pPr>
        <w:jc w:val="both"/>
      </w:pPr>
      <w:r>
        <w:t xml:space="preserve">Het formularium en periodiek systeem in de bijlage. De tabel met grootheden en eenheden krijg je NIET op het examen.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zijn eigen instructiezin, die duidelijk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r w:rsidR="0060243A">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fysica 3aso - alle wetenschappelijke richtingen - zijn de examens digitaal met een schriftelijke component vanaf januari 2018. Om je wetenschappelijke vaardigheden te testen, zal je naast de digitale vragen ook een aantal vragen op papier moeten uitwerken. Hierbij kan het bijvoorbeeld gaan om het schematisch voorstellen van structuren,  mechanismen, berekeningen, onderzoeksgegevens en wetenschappelijke notatie.</w:t>
      </w:r>
    </w:p>
    <w:p>
      <w:pPr>
        <w:jc w:val="both"/>
      </w:pPr>
      <w:r>
        <w:t xml:space="preserve"/>
      </w:r>
    </w:p>
    <w:p>
      <w:pPr>
        <w:jc w:val="both"/>
      </w:pPr>
      <w:r>
        <w:t xml:space="preserve">Lees meer over digitale examens en bekijk voorbeeldvragen op http://examencommissiesecundaironderwijs.be/examens</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naargelang het vraagtype kan je voor een gedeeltelijk juist antwoord soms ook punten scoren;</w:t>
      </w:r>
    </w:p>
    <w:p>
      <w:pPr>
        <w:jc w:val="both"/>
      </w:pPr>
      <w:r>
        <w:t xml:space="preserve">- is er geen giscorrectie.</w:t>
      </w:r>
    </w:p>
    <w:p>
      <w:pPr>
        <w:jc w:val="both"/>
      </w:pPr>
      <w:r>
        <w:t xml:space="preserve"/>
      </w:r>
    </w:p>
    <w:p>
      <w:pPr>
        <w:jc w:val="both"/>
      </w:pPr>
      <w:r>
        <w:t xml:space="preserve">Voor de open vragen bekijken de correctoren of je antwoord:</w:t>
      </w:r>
    </w:p>
    <w:p>
      <w:pPr>
        <w:jc w:val="both"/>
      </w:pPr>
      <w:r>
        <w:t xml:space="preserve">- de juiste wetenschappelijke begrippen en symbolen bevat;</w:t>
      </w:r>
    </w:p>
    <w:p>
      <w:pPr>
        <w:jc w:val="both"/>
      </w:pPr>
      <w:r>
        <w:t xml:space="preserve">- ondubbelzinnig is en de juiste inhoud bevat;</w:t>
      </w:r>
    </w:p>
    <w:p>
      <w:pPr>
        <w:jc w:val="both"/>
      </w:pPr>
      <w:r>
        <w:t xml:space="preserve">- duidelijk leesbaar is (anders kunnen er geen punten toegekend worden);</w:t>
      </w:r>
    </w:p>
    <w:p>
      <w:pPr>
        <w:jc w:val="both"/>
      </w:pPr>
      <w:r>
        <w:t xml:space="preserve">- duidelijk gestructureerd is.</w:t>
      </w:r>
    </w:p>
    <w:p>
      <w:pPr>
        <w:jc w:val="both"/>
      </w:pPr>
      <w:r>
        <w:t xml:space="preserve"/>
      </w:r>
    </w:p>
    <w:p>
      <w:pPr>
        <w:jc w:val="both"/>
      </w:pPr>
      <w:r>
        <w:t xml:space="preserve">Wij houden geen rekening met taalfouten maar vaktermen moeten correct worden gespeld.</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1 Elektriciteit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2 Elektromagnetisme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3 Kernfysica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4 Kracht, beweging, arbeid en energie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5 Trillingen en golven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
        <w:br/>
        <w:t xml:space="preserve">Hieronder staan enkele handboeken die vaak gebruikt worden in het secundair onderwijs. Ze bieden je voldoende ondersteuning om de leerstof zelfstandig te verwerken. We verwijzen naar websites of andere uitgaven die je ook kunnen helpen bij je voorbereiding.</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Quark</w:t>
              <w:br/>
              <w:t xml:space="preserve"/>
              <w:br/>
              <w:t xml:space="preserve">Sirius</w:t>
              <w:br/>
              <w:t xml:space="preserve"/>
              <w:br/>
              <w:t xml:space="preserve">Stapstenen. Onderzoek stap voor stap.</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 (samenwerking met voormalige uitgeverij de Boeck)</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 432 95 00</w:t>
              <w:br/>
              <w:t xml:space="preserve"/>
              <w:br/>
              <w:t xml:space="preserve">uitgeverij@vanin.be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Interactie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secundair.diekeure.be</w:t>
              <w:br/>
              <w:t xml:space="preserve"/>
              <w:br/>
              <w:t xml:space="preserve">050 / 47 12 72</w:t>
              <w:br/>
              <w:t xml:space="preserve"/>
              <w:br/>
              <w:t xml:space="preserve">info@diekeure.be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Fysica Vandaag</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 660 27 00</w:t>
              <w:br/>
              <w:t xml:space="preserve"/>
              <w:br/>
              <w:t xml:space="preserve">uitgeverij@pelckmans.be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Impuls</w:t>
              <w:br/>
              <w:t xml:space="preserve"/>
              <w:br/>
              <w:t xml:space="preserve">O Zo! Onderzoeken doe je zo.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0800 99 084</w:t>
              <w:br/>
              <w:t xml:space="preserve"/>
              <w:br/>
              <w:t xml:space="preserve">klantendienst@plantyn.com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Mijn masterplan.</w:t>
              <w:br/>
              <w:t xml:space="preserve">Hoofdstuk 6: de researchafdeling. Een onderzoeksopdracht uitwerken.</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Averbode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www.averbode.be</w:t>
              <w:br/>
              <w:t xml:space="preserve"/>
              <w:br/>
              <w:t xml:space="preserve">013 / 78 01 16</w:t>
              <w:br/>
              <w:t xml:space="preserve"/>
              <w:br/>
              <w:t xml:space="preserve"> </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 Wat vind je hier ?</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http://www.vonw.be/fysica</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 vindt je vragen en antwoorden van de voorbije edities van de Vlaamse Fysica Olympiade.</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2">
    <w:nsid w:val="0CAA7911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3">
    <w:nsid w:val="0CAA7911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4">
    <w:nsid w:val="0CAA7911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5">
    <w:nsid w:val="0CAA7911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6">
    <w:nsid w:val="0CAA7911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7">
    <w:nsid w:val="0CAA791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8">
    <w:nsid w:val="0CAA791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9">
    <w:nsid w:val="0CAA791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0">
    <w:nsid w:val="0CAA7912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1">
    <w:nsid w:val="0CAA7912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