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natuurwetenschappen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Latijn-Moderne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Moderne Talen-Wiskunde</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http://www.ond.vlaanderen.be/curriculum/secundair-onderwijs/derde-graad/index.htm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Het verwerken en beheersen van de leerinhouden, leerdoelen en opdrachten in deze vakfiche heeft als doel de wetenschappelijke geletterdheid te bevorderen omdat je bijna dagelijks met natuurwetenschappen geconfronteerd wordt.  Denk bijvoorbeeld maar aan:</w:t>
        <w:br/>
        <w:t xml:space="preserve"/>
        <w:br/>
        <w:t xml:space="preserve">&amp;raquo;       de vele kunststoffen die we gebruiken</w:t>
        <w:br/>
        <w:t xml:space="preserve"/>
        <w:br/>
        <w:t xml:space="preserve">&amp;raquo;       de vruchtbaarheidsmethoden en anticonceptiemiddelen die voorhanden zijn</w:t>
        <w:br/>
        <w:t xml:space="preserve"/>
        <w:br/>
        <w:t xml:space="preserve">&amp;raquo;       alternatieve energievormen</w:t>
        <w:br/>
        <w:t xml:space="preserve"/>
        <w:br/>
        <w:t xml:space="preserve">&amp;raquo;       het gebruik van batterijen</w:t>
        <w:br/>
        <w:t xml:space="preserve"/>
        <w:br/>
        <w:t xml:space="preserve">&amp;raquo;       het gebruik van genetisch gemanipuleerd voedsel, ....</w:t>
        <w:br/>
        <w:t xml:space="preserve"/>
        <w:br/>
        <w:t xml:space="preserve">Om dit alles te begrijpen en te verklaren is het noodzakelijk om een wetenschappelijke basiskennis te bezitten.  Dit betekent onder meer dat je wetenschappelijke principes, begrippen, symbolen en SI-eenheden in het dagelijks leven kan herkennen, benoemen en actief gebruiken. Daarnaast moet je je wetenschappelijke kennis en vaardigheden kunnen inzetten in verband met duurzame ontwikkeling en de rol van wetenschap in de maatschappij. Meer informatie hierover vind je hierna in de uitbreiding.</w:t>
      </w:r>
    </w:p>
    <w:p>
      <w:r>
        <w:rPr/>
        <w:t xml:space="preserve"/>
      </w:r>
      <w:r>
        <w:rPr>
          <w:color w:val="00B050"/>
        </w:rPr>
        <w:t/>
      </w:r>
    </w:p>
    <w:p w14:paraId="70391787" w14:textId="3DB223A8" w:rsidR="00047953" w:rsidRDefault="001D02B3" w:rsidP="0082741A">
      <w:r>
        <w:rPr>
          <w:color w:val="00B050"/>
        </w:rPr>
        <w:t/>
      </w:r>
      <w:r>
        <w:t/>
      </w:r>
      <w:r>
        <w:rPr/>
        <w:t xml:space="preserve">Tot slot enkele bemerkingen over je aanpak bij de voorbereiding van het examen.</w:t>
        <w:br/>
        <w:t xml:space="preserve"/>
        <w:br/>
        <w:t xml:space="preserve">Voor jezelf is het belangrijk dat je tijdens je voorbereiding leert om zelfstandig informatie op te zoeken via elektronische media. De bedoeling is wel dat je hier creatief maar ook kritisch mee omgaat. Het is een wetenschappelijke houding om kritische vragen te durven stellen bij de informatie die je aangeboden wordt.</w:t>
        <w:br/>
        <w:t xml:space="preserve"/>
        <w:br/>
        <w:t xml:space="preserve">Probeer zo nieuwsgierig mogelijk te blijven; wetenschappen zijn zo ruim dat er altijd wel iets zou moeten zijn dan je verbazing kan wekken.  Probeer ook je momenten van zelfstudie efficiënt te benutten; plan je taken en werk met de nodige concentratie en zelfdiscipline.</w:t>
        <w:br/>
        <w:t xml:space="preserve"/>
        <w:br/>
        <w:t xml:space="preserve">De inhoud van deze vakfiche sluit nauw aan bij de eindtermen van de Vlaamse overheid. Deze eindtermen vormen de basis voor onze examens. Zo toetsen we of je de vereiste vaardigheden en competenties voldoende beheerst.</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1 LEVEN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2 MATERIE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3 ENERGIE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4 KRACHTEN, TRILLINGEN EN GOLVEN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5 ONDERZOEKSVRAAG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1 LEVEN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1.1	Biologische eenheid</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1.1.1	DE CEL – SUBMICROSCOPISCH</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celorganellen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celorganellen op submicroscopisch niveau herkennen en benoemen</w:t>
              <w:br/>
              <w:t xml:space="preserve"/>
              <w:br/>
              <w:t xml:space="preserve">de functies van celorganellen op submicroscopisch niveau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celmembraan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biomoleculen in het celmembraan herkennen en  benoemen</w:t>
              <w:br/>
              <w:t xml:space="preserve"/>
              <w:br/>
              <w:t xml:space="preserve">de verschillende biomoleculen waaruit het celmembraan is opgebouwd opsommen</w:t>
              <w:br/>
              <w:t xml:space="preserve"/>
              <w:br/>
              <w:t xml:space="preserve">de functies van de verschillende biomoleculen in het celmembraan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1.1.2	DE CELCYCLUS</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chemische structuur van DNA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structuur herkennen en beschrijven</w:t>
              <w:br/>
              <w:t xml:space="preserve"/>
              <w:br/>
              <w:t xml:space="preserve">de verschillende biomoleculen in deze structuur herkennen en benoemen</w:t>
              <w:br/>
              <w:t xml:space="preserve"/>
              <w:br/>
              <w:t xml:space="preserve">chromosoom en chromatine onderscheiden van elkaar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DNA-replicatie</w:t>
              <w:br/>
              <w:t xml:space="preserve"/>
              <w:br/>
              <w:t xml:space="preserve">enzymen: DNA-helicase, DNA-polymerase, DNA-ligase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de DNA-replicatie beschrijven</w:t>
              <w:br/>
              <w:t xml:space="preserve"/>
              <w:br/>
              <w:t xml:space="preserve">de DNA-replicatie situeren in de celcyclus</w:t>
              <w:br/>
              <w:t xml:space="preserve"/>
              <w:br/>
              <w:t xml:space="preserve">het verloop van de DNA-replicatie beschrijven aan de hand van een gegeven figuur</w:t>
              <w:br/>
              <w:t xml:space="preserve"/>
              <w:br/>
              <w:t xml:space="preserve">de functie van deze enzymen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mitose en meiose</w:t>
              <w:br/>
              <w:t xml:space="preserve"/>
              <w:br/>
              <w:t xml:space="preserve">diploïde en haploïde cellen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fasen van de celcyclus in chronologische volgorde opsommen</w:t>
              <w:br/>
              <w:t xml:space="preserve"/>
              <w:br/>
              <w:t xml:space="preserve">het belang van mitose en meiose beschrijven</w:t>
              <w:br/>
              <w:t xml:space="preserve"/>
              <w:br/>
              <w:t xml:space="preserve">mitose en meiose situeren in de celcyclus</w:t>
              <w:br/>
              <w:t xml:space="preserve"/>
              <w:br/>
              <w:t xml:space="preserve">de verschillen en gelijkenissen tussen de delingen herkennen en beschrijven aan de hand van figuren</w:t>
              <w:br/>
              <w:t xml:space="preserve"/>
              <w:br/>
              <w:t xml:space="preserve">klonen in verband brengen met celdeling</w:t>
              <w:br/>
              <w:t xml:space="preserve"/>
              <w:br/>
              <w:t xml:space="preserve">het ontstaan van kankercellen en de invloed van fysische en chemische factoren op celdeling verduidelijken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1.2	Leven doorgeven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1.2.1	VOORPLANTING BIJ DE MENS</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spermatogenese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functie van testosteron en gonadotrope hormonen tijdens de spermatogenese verklaren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oögenese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functie van oestrogeen en gonadotrope hormonen tijdens de oögenese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menstruatiecyclus hormonaal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functie van oestrogeen en gonadotrope hormonen tijdens de menstruatiecyclus verklaren</w:t>
              <w:br/>
              <w:t xml:space="preserve"/>
              <w:br/>
              <w:t xml:space="preserve">figuren en grafieken van de menstruatiecyclus, baarmoedercyclus en hormonale schommelingen interpreteren 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bevruchting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proces van de bevruchting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geboorte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proces van de geboorte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externe factoren zoals stralingen, chemische stoffen, stress, roken of alcohol op de ontwikkeling van de foetus/embryo</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invloed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hormonale regelingen van de vruchtbaarheid:</w:t>
              <w:br/>
              <w:t xml:space="preserve">in-vtirofertilisatie, intra uterine inseminatie, intracytoplasmatische sperma-injectie, in-vitromaturatie, de hormonale pil, anticonceptiepleister, hormonaal implantaat, de vaginale anticonceptiering, hormoonhoudend spiraaltje, de morning-afterpil</w:t>
              <w:br/>
              <w:t xml:space="preserve"/>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hormonale methoden verklaren en in verband brengen met de hormonale regelingen in het lichaam</w:t>
              <w:br/>
              <w:t xml:space="preserve"/>
              <w:br/>
              <w:t xml:space="preserve">het maatschappelijk belang van de gegeven methoden aantonen aan de hand van voorbeelden</w:t>
              <w:br/>
              <w:t xml:space="preserve"/>
              <w:br/>
              <w:t xml:space="preserve">een standpunt innemen wat betreft deze methoden en ethische vragen omtrent deze methoden beargumenteren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1.2.2	CHROMOSOMALE GENETICA</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begrippen: gen, allel, homozygoot, heterozygoot, multiple allelen, genotype, fenotype, dominant, recessief, co-dominant, intermediaire overerving, terugkruising, geslachtsgebonden kenmerken, crossing-over gekoppelde genen, genenkaart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deze begrippen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wetten van Mendel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wetten van Mendel herkennen in resultaten van overervingen en in uitgewerkte voorbeelden</w:t>
              <w:br/>
              <w:t xml:space="preserve"/>
              <w:br/>
              <w:t xml:space="preserve">illustreren dat het werk van Mendel baanbrekend geweest is voor andere genetici en evolutionaire biologen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monohybride kruisingen, dihybride kruisingen, stambomen, overerving van bloedgroepen, overerving van geslachtsgebonden kenmerken, overerving van het geslacht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genotype van ouderparen, gameten en nakomelingen symbolisch voorstellen</w:t>
              <w:br/>
              <w:t xml:space="preserve"/>
              <w:br/>
              <w:t xml:space="preserve">het percentage nakomelingen dat een bepaald genotype en/of fenotype zal hebben, berekenen in eenvoudige oefeningen</w:t>
              <w:br/>
              <w:t xml:space="preserve"/>
              <w:br/>
              <w:t xml:space="preserve">gegevens van overervingen interpreteren en besluiten hierover formuleren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1.2.3 MOLECULAIRE GENETICA</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 van biotechnologie:  de productie van insuline en vaccins, gentherapie, insectresistentie en herbicidetolerantie van gewassen, de productie van genetisch gewijzigde organismen (ggo's)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deze toepassingen in verband brengen met de eiwitsynthese</w:t>
              <w:br/>
              <w:t xml:space="preserve"/>
              <w:br/>
              <w:t xml:space="preserve">- het principe van deze toepassingen beschrijven</w:t>
              <w:br/>
              <w:t xml:space="preserve"/>
              <w:br/>
              <w:t xml:space="preserve">- voor- en nadelen van deze toepassingen benoemen en evalueren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1.3	Soorten en evolutie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1.3.1	SOORTEN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mutaties en modificaties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verklaren hoe mutaties en modificaties aanleiding kunnen geven tot variaties tussen organismen</w:t>
              <w:br/>
              <w:t xml:space="preserve"/>
              <w:br/>
              <w:t xml:space="preserve">de invloed van biologische, chemische en fysische factoren bij het ontstaan van mutaties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1.3.2	EVOLUTIE</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evolutietheorieën van de Lamarck, Darwin en de huidige evolutietheorie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vergelijking maken tussen de verschillende evolutietheorieën en in gegeven voorbeelden deze theorieën herkennen</w:t>
              <w:br/>
              <w:t xml:space="preserve"/>
              <w:br/>
              <w:t xml:space="preserve">argumenten beschrijven die hypothese van evolutie van het leven ondersteunen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ontstaan van soorten, evolutie van de mens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 de hand van gegeven hominiden met hun kenmerken het verband leggen tussen de oorzaken van de verschillende fasen in het menswordingsproces en de verandering in bouw</w:t>
              <w:br/>
              <w:t xml:space="preserve"/>
              <w:br/>
              <w:t xml:space="preserve">het spanningsveld over het ontstaan en de evolutie van het leven tussen geloof en wetenschap illustreren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2 MATERIE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2.1	Stoffen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2.1.1	ENKELVOUDIGE EN SAMENGESTELDE ANORGANISCHE STOFFEN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eigenschappen van enkelvoudige en samengestelde stoffen: aggregatietoestand bij kamertemperatuur, elektrisch geleidingsvermogen, warmtegeleiding, vervormbaarheid, glans, magnetische eigenschappen, oplosbaarheid, kookpunt, smeltpunt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eigenschappen van metalen, niet-metalen, edelgassen, zuren, zouten, basen en oxiden verklaren aan de hand van hun structuurformule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 van enkelvoudige en samengestelde stoffen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toepassingen van metalen, niet-metalen , edelgassen, zuren, zouten, basen en oxiden verklaren aan de hand van hun structuurformule en eigenschappen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2.1.2	ORGANISCHE STOFKLASSEN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organische stofklassen:  alcoholen, carbonzuren, ketonen, aldehyden, alkanen, alkenen, alkynen, esters</w:t>
              <w:br/>
              <w:t xml:space="preserve"/>
              <w:br/>
              <w:t xml:space="preserve">de triviale namen van de volgende moleculen: methanol, ethanol, methaanzuur, ethaanzuur, butaanzuur, propanon, methanal (formaldehyde), ethanal, etheen, ethyn, trichloormethaan, diëthylether, 1,2-ethaandiol, 1,2,3-propaantriol</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namen van organische stofklassen gebruiken in verklaringen en beschrijvingen, herkennen en benoemen met behulp van de determinatietabel die je als bijlage vindt</w:t>
              <w:br/>
              <w:t xml:space="preserve"/>
              <w:br/>
              <w:t xml:space="preserve">de triviale namen van deze moleculen gebruiken in verklaringen en beschrijvingen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fysische eigenschappen van deze stofklassen:  oplosbaarheid, kook- en smeltpunt, aggregatietoestand, elektrische geleidbaarheid</w:t>
              <w:br/>
              <w:t xml:space="preserve"/>
              <w:br/>
              <w:t xml:space="preserve">begrippen: polaire en apolaire stoffen, verschillende soorten intermoleculaire krachten, dissociatie en ionisatie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eigenschappen verklaren vanuit een eenvoudige structuurformule door de gegeven begrippen te gebruiken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 van deze stofklassen zoals geurstoffen, brandstoffen, oplosmiddel,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toepassingen van organische stofklassen verklaren aan de hand van de structuurformule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2.1.3	KUNSTSTOFFEN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thermische eigenschappen van kunststoffen, thermoplasten, thermoharders, elastomeren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gegeven structuren herkennen in eenvoudige afbeeldingen</w:t>
              <w:br/>
              <w:t xml:space="preserve"/>
              <w:br/>
              <w:t xml:space="preserve">deze thermische eigenschappen verklaren aan de hand van een eenvoudige structuurvoorstelling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 van kunststoffen zoals PVC, PP, PET, PE</w:t>
              <w:br/>
              <w:t xml:space="preserve"/>
              <w:br/>
              <w:t xml:space="preserve">het symbool voor bio-gebaseerd, composteerbaar en biodegradeerbaar plastic</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om nano-materialen te ontwikkelen als nieuw materiaal verklaren</w:t>
              <w:br/>
              <w:t xml:space="preserve"/>
              <w:br/>
              <w:t xml:space="preserve">de gegeven kunststoffen in verband brengen met gebruiksvoorwerpen</w:t>
              <w:br/>
              <w:t xml:space="preserve"/>
              <w:br/>
              <w:t xml:space="preserve">het symbool voor biogebaseerd, composteerbaar of biodegradeerbaar herkennen en begrijpen</w:t>
              <w:br/>
              <w:t xml:space="preserve"/>
              <w:br/>
              <w:t xml:space="preserve">en toepassingen van biogebaseerde, composteerbare of biodegradeerbare toelichten en illustreren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2.1.4	BIOCHEMISCHE STOFFEN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biochemische stoffen: proteïnen, lipiden, sachariden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vereenvoudigde structuur of schematische structuur van de biochemische stoffen herkennen en benoemen</w:t>
              <w:br/>
              <w:t xml:space="preserve"/>
              <w:br/>
              <w:t xml:space="preserve">de primaire, secundaire en tertiaire structuur van eiwitten herkennen, benoemen en het voorkomen van deze structuren beschrijven</w:t>
              <w:br/>
              <w:t xml:space="preserve"/>
              <w:br/>
              <w:t xml:space="preserve">de reinigende werking van zepen verklaren</w:t>
              <w:br/>
              <w:t xml:space="preserve"/>
              <w:br/>
              <w:t xml:space="preserve">het belang van deze biochemische stoffen in voeding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2.1.5	DUURZAAMHEID EN VEILIGHEID</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volgende duurzaamheidsprincipes: urban mining en cradle to cradle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voorkomen van afval verklaren aan de hand van deze  principes</w:t>
              <w:br/>
              <w:t xml:space="preserve"/>
              <w:br/>
              <w:t xml:space="preserve">het belang van het zorgzaam omspringen met bepaalde stoffen verklaren aan de hand van concrete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veiligheidspictogrammen en H- en P-zinnen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veiligheidspictogrammen en H- en P-zinnen interpreteren om veilig en verantwoord om te gaan met stoffen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2.2	Stofomzettingen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enzymen: de bouw, het principe van het sleutel-slotmechanisme, het belang, de werking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bouw van enzymen beschrijven</w:t>
              <w:br/>
              <w:t xml:space="preserve"/>
              <w:br/>
              <w:t xml:space="preserve">het principe van het sleutel-slotmechanisme beschrijven, herkennen en benoemen in afbeeldingen</w:t>
              <w:br/>
              <w:t xml:space="preserve"/>
              <w:br/>
              <w:t xml:space="preserve">het belang van enzymen verklaren in:</w:t>
              <w:br/>
              <w:t xml:space="preserve"/>
              <w:br/>
              <w:t xml:space="preserve">het spijsverteringsstelsel: de werking van amylase, maltase, lipase, peptidase (protease)</w:t>
              <w:br/>
              <w:t xml:space="preserve"/>
              <w:br/>
              <w:t xml:space="preserve">de celademhaling</w:t>
              <w:br/>
              <w:t xml:space="preserve"/>
              <w:br/>
              <w:t xml:space="preserve">de fotosynthese</w:t>
              <w:br/>
              <w:t xml:space="preserve"/>
              <w:br/>
              <w:t xml:space="preserve">factoren die de werking van enzymen beïnvloeden opsommen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fotosyntheseproces: belang, situering in de cel, de chemische reactie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het fotosyntheseproces verklaren</w:t>
              <w:br/>
              <w:t xml:space="preserve"/>
              <w:br/>
              <w:t xml:space="preserve">het fotosyntheseproces in de cel situeren op submicroscopisch niveau</w:t>
              <w:br/>
              <w:t xml:space="preserve"/>
              <w:br/>
              <w:t xml:space="preserve">de algemene reactievergelijking van het fotosyntheseproces herkennen en schrijven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celademhaling: aërobe en anaërobe celademhaling, belang, chemische reacties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de celademhaling verklaren</w:t>
              <w:br/>
              <w:t xml:space="preserve"/>
              <w:br/>
              <w:t xml:space="preserve">de drie fasen van de celademhaling situeren in de cel</w:t>
              <w:br/>
              <w:t xml:space="preserve"/>
              <w:br/>
              <w:t xml:space="preserve">de algemene reactievergelijking van de aërobe celademhaling herkennen en schrijven</w:t>
              <w:br/>
              <w:t xml:space="preserve"/>
              <w:br/>
              <w:t xml:space="preserve">het onderscheid tussen aëroob en anaëroob herkennen in reactievergelijkingen en beschrijven</w:t>
              <w:br/>
              <w:t xml:space="preserve"/>
              <w:br/>
              <w:t xml:space="preserve">melkzuurgistingen en alcoholgisting herkennen in reactievergelijkingen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eiwitsynthese: transcriptie en translatie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principes herkennen in afbeeldingen en beschrijven</w:t>
              <w:br/>
              <w:t xml:space="preserve"/>
              <w:br/>
              <w:t xml:space="preserve">de eiwitsynthese situeren in de cel</w:t>
              <w:br/>
              <w:t xml:space="preserve"/>
              <w:br/>
              <w:t xml:space="preserve">de rol van DNA en RNA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stoichiometrie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massa’s en stofhoeveelheden in een eindsituatie berekenen vanuit een gegeven reactievergelijking van een aflopende reactie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reactiesnelheid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reactiesnelheid beschrijven met behulp van het botsingsmodel en activeringsenergie</w:t>
              <w:br/>
              <w:t xml:space="preserve"/>
              <w:br/>
              <w:t xml:space="preserve">de beïnvloedende factoren op de reactiesnelheid verklaren met behulp van het botsingsmodel en de activeringsenergie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chemisch evenwicht en aflopende reactie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onderscheid tussen beide reacties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pH</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pH van een oplossing definiëren</w:t>
              <w:br/>
              <w:t xml:space="preserve"/>
              <w:br/>
              <w:t xml:space="preserve">voorbeelden van zure, basische en neutrale oplossingen geven</w:t>
              <w:br/>
              <w:t xml:space="preserve"/>
              <w:br/>
              <w:t xml:space="preserve">het zuur, basisch en neutraal karakter van gebruiksproducten en onderhoudsproducten inschatten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buffermengsels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belang van buffermengsels verklaren aan de hand van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reacties in de koolstofchemie: polymerisatie en polycondensatiereacties, additie, raffinage van aardolie, veresteringsreacties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reactiesoorten herkennen en benoemen in toepassingen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3 ENERGIE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3.1	Elektrodynamica en elektromagnetisme</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3.1.1	ELEKTRODYNAMICA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elektrische spanning, de stroomsterkte en de weerstand</w:t>
              <w:br/>
              <w:t xml:space="preserve"/>
              <w:br/>
              <w:t xml:space="preserve">de wet van Ohm</w:t>
              <w:br/>
              <w:t xml:space="preserve"/>
              <w:br/>
              <w:t xml:space="preserve">serie- en parallelschakelingen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onderscheid tussen geleiders en isolatoren toelichten</w:t>
              <w:br/>
              <w:t xml:space="preserve"/>
              <w:br/>
              <w:t xml:space="preserve">het verband tussen spanning, stroomsterkte, weerstand en vermogen bepalen in een gelijkstroomkring</w:t>
              <w:br/>
              <w:t xml:space="preserve"/>
              <w:br/>
              <w:t xml:space="preserve">de stroom- en spanningsverdeling bepalen bij serie- en parallelschakelingen en hierbij de vervangingsweerstand berekenen.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elektrisch vermogen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energieomzetting van een elektrisch (huishoud)apparaat berekenen aan de hand van het vermogen dat vermeld wordt op het apparaat en de tijdsduur van gebruik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veilig en verantwoord omgaan met elektrische toestellen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principes van veiligheid in een elektrische installatie beschrijven</w:t>
              <w:br/>
              <w:t xml:space="preserve"/>
              <w:br/>
              <w:t xml:space="preserve">de werking uitleggen van de automatische zekering, de verliesstroomschakelaar en aarding</w:t>
              <w:br/>
              <w:t xml:space="preserve"/>
              <w:br/>
              <w:t xml:space="preserve">een geschikte batterij kiezen, rekening houdend met de opslag van energie in stoffen met de ladingscapaciteit op het etiket van de batterij en met de kenmerken van de batterij</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3.1.2	ELEKTROMAGNETISME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magnetisch veld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krachtwerking van de magnetische polen beschrijven bij permanente magneten</w:t>
              <w:br/>
              <w:t xml:space="preserve"/>
              <w:br/>
              <w:t xml:space="preserve">het magnetisch veld tekenen</w:t>
              <w:br/>
              <w:t xml:space="preserve"/>
              <w:br/>
              <w:t xml:space="preserve">de krachtwerking van een permanente magneet beschrijven met magnetische veldlijnen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ontstaan van het magnetisch veld door bewegende elektrische ladingen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ontstaan van magnetisme verklaren in gemagnetiseerd materiaal</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krachtwerking van een homogeen magnetisch veld op een geleider waar lading doorloopt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magnetische krachtvector  tekenen</w:t>
              <w:br/>
              <w:t xml:space="preserve"/>
              <w:br/>
              <w:t xml:space="preserve">de beweging van ladingen in elektrische en magnetische velden beschrijven</w:t>
              <w:br/>
              <w:t xml:space="preserve"/>
              <w:br/>
              <w:t xml:space="preserve">toepassingen geven van elektromagneten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elektromagnetische inductieverschijnsel</w:t>
              <w:br/>
              <w:t xml:space="preserve"/>
              <w:br/>
              <w:t xml:space="preserve">toepassingen van het elektromagnetische inductieverschijnsel: de elektrische motor, de (elektrodynamische) luidspreker, de elektrische fiets de combinatie motor en geschikte batterij, de generatorwerking, de fietscomputer, de elektrische gitaar, de inductieplaat, de knijpkat, de schudlamp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elektromagnetisch inductieverschijnsel beschrijven met een voorbeeld en de wet van Lenz hierbij toepassen</w:t>
              <w:br/>
              <w:t xml:space="preserve"/>
              <w:br/>
              <w:t xml:space="preserve">het principe van deze toepassingen verklaren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3.2	Kernfysica</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ioniserende-straling</w:t>
              <w:br/>
              <w:t xml:space="preserve"/>
              <w:br/>
              <w:t xml:space="preserve">deeltjesstraling: alfa, bèta-straling</w:t>
              <w:br/>
              <w:t xml:space="preserve"/>
              <w:br/>
              <w:t xml:space="preserve">hoog energetische EM-straling: gammastraling en  röntgenstraling</w:t>
              <w:br/>
              <w:t xml:space="preserve"/>
              <w:br/>
              <w:t xml:space="preserve">EM-straling, EM-spectrum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atoommodel, kernmodel, atoomnummer, neutronental, massagetal en ladingsgetal beschrijven  en in verband brengen met elkaar</w:t>
              <w:br/>
              <w:t xml:space="preserve"/>
              <w:br/>
              <w:t xml:space="preserve">het begrip isotoop herkennen</w:t>
              <w:br/>
              <w:t xml:space="preserve"/>
              <w:br/>
              <w:t xml:space="preserve">deeltjesstraling en hoog energetische EM-straling  van elkaar onderscheiden</w:t>
              <w:br/>
              <w:t xml:space="preserve"/>
              <w:br/>
              <w:t xml:space="preserve">de begrippen EM-straling, EM-spectrum en ioniserende straling toelichten aan de hand van toepassingen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activiteit en halveringstijd</w:t>
              <w:br/>
              <w:t xml:space="preserve"/>
              <w:br/>
              <w:t xml:space="preserve">toepassingen van ioniserende straling :</w:t>
            </w:r>
          </w:p>
          <w:p>
            <w:pPr>
              <w:pStyle w:val="ListParagraph"/>
              <w:numPr>
                <w:ilvl w:val="0"/>
                <w:numId w:val="8"/>
              </w:numPr>
            </w:pPr>
            <w:r>
              <w:rPr/>
              <w:t xml:space="preserve">verrijkt uranium in kernbrandstof</w:t>
            </w:r>
          </w:p>
          <w:p>
            <w:pPr>
              <w:pStyle w:val="ListParagraph"/>
              <w:numPr>
                <w:ilvl w:val="0"/>
                <w:numId w:val="8"/>
              </w:numPr>
            </w:pPr>
            <w:r>
              <w:rPr/>
              <w:t xml:space="preserve">de C-14 methode</w:t>
            </w:r>
          </w:p>
          <w:p>
            <w:pPr>
              <w:pStyle w:val="ListParagraph"/>
              <w:numPr>
                <w:ilvl w:val="0"/>
                <w:numId w:val="8"/>
              </w:numPr>
            </w:pPr>
            <w:r>
              <w:rPr/>
              <w:t xml:space="preserve">geneeskunde</w:t>
            </w:r>
          </w:p>
          <w:p>
            <w:pPr>
              <w:pStyle w:val="ListParagraph"/>
              <w:numPr>
                <w:ilvl w:val="0"/>
                <w:numId w:val="8"/>
              </w:numPr>
            </w:pPr>
            <w:r>
              <w:rPr/>
              <w:t xml:space="preserve">jodiumpillen tegen radioactief jodium</w:t>
            </w:r>
          </w:p>
          <w:p>
            <w:pPr>
              <w:pStyle w:val="ListParagraph"/>
              <w:numPr>
                <w:ilvl w:val="0"/>
                <w:numId w:val="8"/>
              </w:numPr>
            </w:pPr>
            <w:r>
              <w:rPr/>
              <w:t xml:space="preserve">radioactieve tracers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halveringstijd  definiëren en het verband aangeven met de activiteit van een radioactieve bron</w:t>
              <w:br/>
              <w:t xml:space="preserve"/>
              <w:br/>
              <w:t xml:space="preserve">het verloop van de activiteit in functie van de tijd grafisch weergeven</w:t>
              <w:br/>
              <w:t xml:space="preserve"/>
              <w:br/>
              <w:t xml:space="preserve">het vervalproces grafisch beschrijven</w:t>
              <w:br/>
              <w:t xml:space="preserve"/>
              <w:br/>
              <w:t xml:space="preserve">de gegeven toepassingen verklaren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kernfusie en kernsplitsing</w:t>
              <w:br/>
              <w:t xml:space="preserve"/>
              <w:br/>
              <w:t xml:space="preserve">toepassingen:</w:t>
            </w:r>
          </w:p>
          <w:p>
            <w:pPr>
              <w:pStyle w:val="ListParagraph"/>
              <w:numPr>
                <w:ilvl w:val="0"/>
                <w:numId w:val="9"/>
              </w:numPr>
            </w:pPr>
            <w:r>
              <w:rPr/>
              <w:t xml:space="preserve">kernreactor</w:t>
            </w:r>
          </w:p>
          <w:p>
            <w:pPr>
              <w:pStyle w:val="ListParagraph"/>
              <w:numPr>
                <w:ilvl w:val="0"/>
                <w:numId w:val="9"/>
              </w:numPr>
            </w:pPr>
            <w:r>
              <w:rPr/>
              <w:t xml:space="preserve">kernfusie in de zon (sterren)</w:t>
            </w:r>
          </w:p>
          <w:p>
            <w:pPr>
              <w:pStyle w:val="ListParagraph"/>
              <w:numPr>
                <w:ilvl w:val="0"/>
                <w:numId w:val="9"/>
              </w:numPr>
            </w:pPr>
            <w:r>
              <w:rPr/>
              <w:t xml:space="preserve">kernbommen (A-bom en H-bom)</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onderscheid toelichten tussen kernfusie en kernsplitsing</w:t>
              <w:br/>
              <w:t xml:space="preserve"/>
              <w:br/>
              <w:t xml:space="preserve">de gegeven toepassingen verklaren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effecten van ioniserende straling op mens en milieu</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besmetting en bestraling van elkaar onderscheiden</w:t>
              <w:br/>
              <w:t xml:space="preserve"/>
              <w:br/>
              <w:t xml:space="preserve">de begrippen equivalente dosis en effectieve dosis straling omschrijven en toelichten aan de hand van een voorbeeld</w:t>
              <w:br/>
              <w:t xml:space="preserve"/>
              <w:br/>
              <w:t xml:space="preserve">de economische en ecologische gevolgen in de samenleving van het gebruik van kernenergie aangeven</w:t>
              <w:br/>
              <w:t xml:space="preserve"/>
              <w:br/>
              <w:t xml:space="preserve">mogelijke beschermingsmiddelen benoemen bij microgolfovens, bij zonnestraling(zonnecrème als bescherming tegen UV), bij optische witmakers in papier en detergenten (absorptie van UV), bij blacklights en bij Röntgenfoto’s</w:t>
              <w:br/>
              <w:t xml:space="preserve"/>
              <w:br/>
              <w:t xml:space="preserve">de mogelijke effecten van EM-straling en ioniserende straling op mens en milieu illustreren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4 KRACHTEN, TRILLINGEN EN GOLVEN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4.1	Krachten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invloed van de resulterende kracht en van de massa op de verandering van de bewegingstoestand van een voorwerp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betekenis van het traagheidsbeginsel (eerste beginsel van Newton) toelichten met voorbeelden</w:t>
              <w:br/>
              <w:t xml:space="preserve"/>
              <w:br/>
              <w:t xml:space="preserve">het verband verklaren tussen de resulterende kracht, de massa en de verandering van bewegingstoestand van een voorwerp (tweede beginsel van Newton)</w:t>
              <w:br/>
              <w:t xml:space="preserve"/>
              <w:br/>
              <w:t xml:space="preserve">de arbeid berekenen bij een constante kracht die evenwijdig is met de verplaatsing</w:t>
              <w:br/>
              <w:t xml:space="preserve"/>
              <w:br/>
              <w:t xml:space="preserve">de gravitatiekracht beschrijven en berekenen in een eenvoudige situatie</w:t>
              <w:br/>
              <w:t xml:space="preserve"/>
              <w:br/>
              <w:t xml:space="preserve">de normaalkracht beschrijven en berekenen</w:t>
              <w:br/>
              <w:t xml:space="preserve"/>
              <w:br/>
              <w:t xml:space="preserve">de zwaartekracht in verband brengen met de gravitatiekracht en hieruit de veldsterkte van het zwaarteveld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beweging van een voorwerp in termen van positie, snelheid en versnelling (EVB en ECB)</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verschil tussen afgelegde weg en positieverandering (verplaatsing) beschrijven</w:t>
              <w:br/>
              <w:t xml:space="preserve"/>
              <w:br/>
              <w:t xml:space="preserve">Aan de hand van een v(t)-diagram van concrete voorbeelden de volgende begrippen beschrijven:</w:t>
              <w:br/>
              <w:t xml:space="preserve"/>
              <w:br/>
              <w:t xml:space="preserve"/>
            </w:r>
          </w:p>
          <w:p>
            <w:pPr>
              <w:pStyle w:val="ListParagraph"/>
              <w:numPr>
                <w:ilvl w:val="0"/>
                <w:numId w:val="10"/>
              </w:numPr>
            </w:pPr>
            <w:r>
              <w:rPr/>
              <w:t xml:space="preserve">de versnelling</w:t>
            </w:r>
          </w:p>
          <w:p>
            <w:pPr>
              <w:pStyle w:val="ListParagraph"/>
              <w:numPr>
                <w:ilvl w:val="0"/>
                <w:numId w:val="10"/>
              </w:numPr>
            </w:pPr>
            <w:r>
              <w:rPr/>
              <w:t xml:space="preserve">de versnelde en vertraagde beweging</w:t>
            </w:r>
          </w:p>
          <w:p>
            <w:pPr>
              <w:pStyle w:val="ListParagraph"/>
              <w:numPr>
                <w:ilvl w:val="0"/>
                <w:numId w:val="10"/>
              </w:numPr>
            </w:pPr>
            <w:r>
              <w:rPr/>
              <w:t xml:space="preserve">de eenparig veranderlijke rechtlijnige beweging</w:t>
            </w:r>
          </w:p>
          <w:p>
            <w:pPr>
              <w:pStyle w:val="ListParagraph"/>
              <w:numPr>
                <w:ilvl w:val="0"/>
                <w:numId w:val="10"/>
              </w:numPr>
            </w:pPr>
            <w:r>
              <w:rPr/>
              <w:t xml:space="preserve">de valbeweging</w:t>
            </w:r>
          </w:p>
          <w:p>
            <w:r>
              <w:rPr/>
              <w:t xml:space="preserve"> </w:t>
              <w:br/>
              <w:t xml:space="preserve"/>
              <w:br/>
              <w:t xml:space="preserve">de beweging uitdrukken in termen van positie, snelheid, versnelling en kracht bij concrete voorbeelden van eenparig veranderlijke beweging of eenparige cirkelvormige beweging</w:t>
              <w:br/>
              <w:t xml:space="preserve"/>
              <w:br/>
              <w:t xml:space="preserve">bij een v(t)-diagram het verband leggen tussen het oppervlak onder de grafiek en de positieverandering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4.2	Trillingen en golven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4.2.1	BASISBEGRIPPEN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basisgrootheden van harmonische trillingen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amplitude, de periode en de frequentie van een harmonische trilling beschrijven en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basisgrootheden van lopende golven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voortplantingssnelheid, de frequentie en de golflengte van een lopende golf berekenen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eigenschappen van een harmonische trillingen en lopende golven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resonantie herkennen in voorbeelden van harmonische trilling</w:t>
              <w:br/>
              <w:t xml:space="preserve"/>
              <w:br/>
              <w:t xml:space="preserve">de buiging en de terugkaatsing van golven herkennen</w:t>
              <w:br/>
              <w:t xml:space="preserve"/>
              <w:br/>
              <w:t xml:space="preserve">eigenschappen van trillingen en golven herkennen bij:</w:t>
            </w:r>
          </w:p>
          <w:p>
            <w:pPr>
              <w:pStyle w:val="ListParagraph"/>
              <w:numPr>
                <w:ilvl w:val="0"/>
                <w:numId w:val="11"/>
              </w:numPr>
            </w:pPr>
            <w:r>
              <w:rPr/>
              <w:t xml:space="preserve">de slingerbeweging</w:t>
            </w:r>
          </w:p>
          <w:p>
            <w:pPr>
              <w:pStyle w:val="ListParagraph"/>
              <w:numPr>
                <w:ilvl w:val="0"/>
                <w:numId w:val="11"/>
              </w:numPr>
            </w:pPr>
            <w:r>
              <w:rPr/>
              <w:t xml:space="preserve">een trillende massa</w:t>
            </w:r>
          </w:p>
          <w:p>
            <w:pPr>
              <w:pStyle w:val="ListParagraph"/>
              <w:numPr>
                <w:ilvl w:val="0"/>
                <w:numId w:val="11"/>
              </w:numPr>
            </w:pPr>
            <w:r>
              <w:rPr/>
              <w:t xml:space="preserve">geluid en een stemvork</w:t>
            </w:r>
          </w:p>
          <w:p>
            <w:pPr>
              <w:pStyle w:val="ListParagraph"/>
              <w:numPr>
                <w:ilvl w:val="0"/>
                <w:numId w:val="11"/>
              </w:numPr>
            </w:pPr>
            <w:r>
              <w:rPr/>
              <w:t xml:space="preserve">muziek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toepassingen:</w:t>
            </w:r>
          </w:p>
          <w:p>
            <w:pPr>
              <w:pStyle w:val="ListParagraph"/>
              <w:numPr>
                <w:ilvl w:val="0"/>
                <w:numId w:val="12"/>
              </w:numPr>
            </w:pPr>
            <w:r>
              <w:rPr/>
              <w:t xml:space="preserve">de snelheidsmeting in het verkeer</w:t>
            </w:r>
          </w:p>
          <w:p>
            <w:pPr>
              <w:pStyle w:val="ListParagraph"/>
              <w:numPr>
                <w:ilvl w:val="0"/>
                <w:numId w:val="12"/>
              </w:numPr>
            </w:pPr>
            <w:r>
              <w:rPr/>
              <w:t xml:space="preserve">de doppler-meting (in de geneeskunde)</w:t>
            </w:r>
          </w:p>
          <w:p>
            <w:pPr>
              <w:pStyle w:val="ListParagraph"/>
              <w:numPr>
                <w:ilvl w:val="0"/>
                <w:numId w:val="12"/>
              </w:numPr>
            </w:pPr>
            <w:r>
              <w:rPr/>
              <w:t xml:space="preserve">ultrasone toepassingen: echografie, niersteenverbrijzeling en shokwave-therapie</w:t>
            </w:r>
          </w:p>
          <w:p>
            <w:pPr>
              <w:pStyle w:val="ListParagraph"/>
              <w:numPr>
                <w:ilvl w:val="0"/>
                <w:numId w:val="12"/>
              </w:numPr>
            </w:pPr>
            <w:r>
              <w:rPr/>
              <w:t xml:space="preserve">de microgolven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'Doppler-effect' verklaren</w:t>
              <w:br/>
              <w:t xml:space="preserve"/>
              <w:br/>
              <w:t xml:space="preserve">deze toepassingen herkennen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4.2.2	GELUID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eigenschappen van geluid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geluidsintensiteit en het geluidsniveau beschrijven</w:t>
              <w:br/>
              <w:t xml:space="preserve"/>
              <w:br/>
              <w:t xml:space="preserve">het (wiskundige) verband leggen tussen geluidsniveau en geluidsintensiteit.</w:t>
              <w:br/>
              <w:t xml:space="preserve"/>
              <w:br/>
              <w:t xml:space="preserve">de eenheid decibel (dB) definiëren</w:t>
              <w:br/>
              <w:t xml:space="preserve"/>
              <w:br/>
              <w:t xml:space="preserve">de decibelschaal als een logaritmische schaal beschrijven</w:t>
              <w:br/>
              <w:t xml:space="preserve"/>
              <w:br/>
              <w:t xml:space="preserve">de voortplanting van geluid herkennen als longitudinale golf.</w:t>
              <w:br/>
              <w:t xml:space="preserve"/>
              <w:br/>
              <w:t xml:space="preserve">geluid herkennen als een mechanische golf</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invloeden van geluid op de mens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geluidssterkte en gehoorschade beschrijven</w:t>
              <w:br/>
              <w:t xml:space="preserve"/>
              <w:br/>
              <w:t xml:space="preserve">geluidsoverlast en het verbeteren van de geluidskwaliteit door absorptie (poreuze materialen, resonatoren, membraanwerking), door isolatie of door reflectie beschrijven</w:t>
              <w:br/>
              <w:t xml:space="preserve"/>
              <w:br/>
              <w:t xml:space="preserve">het principe van schokgolven beschrijven</w:t>
              <w:br/>
              <w:t xml:space="preserve"/>
              <w:br/>
              <w:t xml:space="preserve">de afstandsmeting door middel van geluid ('SONAR')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5 ONDERZOEKSVRAAG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examen krijg je een beschrijving van een bestaand onderzoek, van de gevolgde stappen en van de gevonden meetresultaten. Er zullen dan een aantal vragen over dat onderzoek worden gesteld om te evalueren of je de natuurwetenschappelijke methode voldoende beheerst.  In onderstaande tabel vind je mogelijke vragen die aan bod kunnen komen.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natuurwetenschappelijke onderzoeksmethode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moet de volgende vragen kunnen beantwoorden</w:t>
              <w:br/>
              <w:t xml:space="preserve"/>
              <w:br/>
              <w:t xml:space="preserve"/>
            </w:r>
          </w:p>
          <w:p>
            <w:pPr>
              <w:pStyle w:val="ListParagraph"/>
              <w:numPr>
                <w:ilvl w:val="0"/>
                <w:numId w:val="13"/>
              </w:numPr>
            </w:pPr>
            <w:r>
              <w:rPr/>
              <w:t xml:space="preserve">wat is volgens jou het probleem of de vraag die onderzocht wordt in het onderzoekje?</w:t>
            </w:r>
          </w:p>
          <w:p>
            <w:pPr>
              <w:pStyle w:val="ListParagraph"/>
              <w:numPr>
                <w:ilvl w:val="0"/>
                <w:numId w:val="13"/>
              </w:numPr>
            </w:pPr>
            <w:r>
              <w:rPr/>
              <w:t xml:space="preserve">wat is de hypothese of de verwachting die gesteld wordt?</w:t>
            </w:r>
          </w:p>
          <w:p>
            <w:r>
              <w:rPr/>
              <w:t xml:space="preserve"/>
              <w:br/>
              <w:t xml:space="preserve"/>
              <w:br/>
              <w:t xml:space="preserve"/>
              <w:br/>
              <w:t xml:space="preserve">Je moet heel beknopt kunnen weergeven welke stappen gevolgd werden bij het onderzoek</w:t>
              <w:br/>
              <w:t xml:space="preserve"/>
              <w:br/>
              <w:t xml:space="preserve">Je moet kunnen aangeven welke factoren het waargenomen effect of de meetresultaten zouden kunnen beïnvloed hebben</w:t>
              <w:br/>
              <w:t xml:space="preserve"/>
              <w:br/>
              <w:t xml:space="preserve">We gaan je enkele onderzoeksresultaten weergeven in woorden, of we gaan de meetwaarden in een tabel tonen of in een grafiek. Je moet daarbij de volgende vragen kunnen beantwoorden</w:t>
              <w:br/>
              <w:t xml:space="preserve"/>
              <w:br/>
              <w:t xml:space="preserve"/>
            </w:r>
          </w:p>
          <w:p>
            <w:pPr>
              <w:pStyle w:val="ListParagraph"/>
              <w:numPr>
                <w:ilvl w:val="0"/>
                <w:numId w:val="14"/>
              </w:numPr>
            </w:pPr>
            <w:r>
              <w:rPr/>
              <w:t xml:space="preserve">zijn de resultaten (zoals bijvoorbeeld. in de tabel getoond) aannemelijk of zit er een meetfout in?</w:t>
            </w:r>
          </w:p>
          <w:p>
            <w:pPr>
              <w:pStyle w:val="ListParagraph"/>
              <w:numPr>
                <w:ilvl w:val="0"/>
                <w:numId w:val="14"/>
              </w:numPr>
            </w:pPr>
            <w:r>
              <w:rPr/>
              <w:t xml:space="preserve">Is de grafiek ook (ongeveer) het soort grafiek je zou verwachten bij de echte uitvoering van het experiment?</w:t>
            </w:r>
          </w:p>
          <w:p>
            <w:pPr>
              <w:pStyle w:val="ListParagraph"/>
              <w:numPr>
                <w:ilvl w:val="0"/>
                <w:numId w:val="14"/>
              </w:numPr>
            </w:pPr>
            <w:r>
              <w:rPr/>
              <w:t xml:space="preserve">Zie je aan de resultaten of er een storende factor in het spel is (bijvoorbeeld. wrijving, energieverlies onder de vorm van warmte, …)?</w:t>
            </w:r>
          </w:p>
          <w:p>
            <w:pPr>
              <w:pStyle w:val="ListParagraph"/>
              <w:numPr>
                <w:ilvl w:val="0"/>
                <w:numId w:val="14"/>
              </w:numPr>
            </w:pPr>
            <w:r>
              <w:rPr/>
              <w:t xml:space="preserve">We geven een mogelijke hypothese bij het verschijnsel. Wordt de hypothese tegengesproken of bevestigd door de resultaten? Waarom?</w:t>
            </w:r>
          </w:p>
          <w:p>
            <w:pPr>
              <w:pStyle w:val="ListParagraph"/>
              <w:numPr>
                <w:ilvl w:val="0"/>
                <w:numId w:val="14"/>
              </w:numPr>
            </w:pPr>
            <w:r>
              <w:rPr/>
              <w:t xml:space="preserve">Zijn er fouten gemaakt in de wetenschappelijke terminologie of in de gebruikte eenheden? Waar?</w:t>
            </w:r>
          </w:p>
          <w:p>
            <w:r>
              <w:rPr/>
              <w:t xml:space="preserve"/>
              <w:br/>
              <w:t xml:space="preserve"/>
              <w:br/>
              <w:t xml:space="preserve"/>
              <w:br/>
              <w:t xml:space="preserve">We gaan je vragen om de resultaten te 'rapporteren'; je zal dan door gebruik te maken van de juiste wetenschappelijke terminologie een besluit moeten formuleren over de gevonden resultaten. Een vraag daarbij zou kunnen zijn:</w:t>
              <w:br/>
              <w:t xml:space="preserve"/>
              <w:br/>
              <w:t xml:space="preserve"/>
            </w:r>
          </w:p>
          <w:p>
            <w:pPr>
              <w:pStyle w:val="ListParagraph"/>
              <w:numPr>
                <w:ilvl w:val="0"/>
                <w:numId w:val="15"/>
              </w:numPr>
            </w:pPr>
            <w:r>
              <w:rPr/>
              <w:t xml:space="preserve">wordt de mogelijke verklaring tegengesproken of bevestigd? Waarom?</w:t>
            </w:r>
          </w:p>
          <w:p>
            <w:r>
              <w:rPr/>
              <w:t xml:space="preserve"/>
              <w:br/>
              <w:t xml:space="preserve"/>
              <w:br/>
              <w:t xml:space="preserve"/>
              <w:br/>
              <w:t xml:space="preserve">Eventueel gaan we jou bijkomende informatie geven uit een wetenschappelijk artikel. We zouden dan bijvoorbeeld. kunnen vragen wat de verschilpunten zijn tussen het onderzoekje en de informatie uit het artikel.</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bijlagen NAT3ASO -2022.pdf</w:t>
      </w:r>
      <w:r w:rsidRPr="003E4776">
        <w:t/>
      </w:r>
    </w:p>
    <w:p w14:paraId="499D1B0A" w14:textId="79267327" w:rsidR="0076163F" w:rsidRDefault="0076163F" w:rsidP="0076163F">
      <w:r w:rsidRPr="003E4776">
        <w:t/>
      </w:r>
      <w:r>
        <w:t>formularium examen NAT3A.pdf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natuurwetenschappen is digitaal. Vraag je je af hoe een digitaal examen verloopt? De uitleg over onze digitale examens, de instructies en heel wat voorbeeldvragen vind je op:</w:t>
      </w:r>
    </w:p>
    <w:p>
      <w:pPr>
        <w:jc w:val="both"/>
      </w:pPr>
      <w:r>
        <w:t xml:space="preserve"/>
      </w:r>
    </w:p>
    <w:p>
      <w:pPr>
        <w:jc w:val="both"/>
      </w:pPr>
      <w:r>
        <w:t xml:space="preserve">http://examencommissiesecundaironderwijs.be/examens</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 </w:t>
      </w:r>
    </w:p>
    <w:p>
      <w:pPr>
        <w:jc w:val="both"/>
      </w:pPr>
      <w:r>
        <w:t xml:space="preserve">balpen</w:t>
      </w:r>
    </w:p>
    <w:p>
      <w:pPr>
        <w:jc w:val="both"/>
      </w:pPr>
      <w:r>
        <w:t xml:space="preserve"/>
      </w:r>
    </w:p>
    <w:p>
      <w:pPr>
        <w:jc w:val="both"/>
      </w:pPr>
      <w:r>
        <w:t xml:space="preserve">Er is enkel een rekenmachine beschikbaar op het examen (op de computer). Een grafisch rekentoestel is niet toegelaten.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het digitaal formularium dat je vindt als bijlage in de vakfiche : bijlage nat3ASO-2022</w:t>
      </w:r>
    </w:p>
    <w:p>
      <w:pPr>
        <w:jc w:val="both"/>
      </w:pPr>
      <w:r>
        <w:t xml:space="preserve">opgelet : de lijst met grootheden en eenheden wordt NIET ter beschikking gesteld.</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zijn eigen instructiezin, die duidelijk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soms ook punten scoren;</w:t>
      </w:r>
    </w:p>
    <w:p>
      <w:pPr>
        <w:jc w:val="both"/>
      </w:pPr>
      <w:r>
        <w:t xml:space="preserve">- is er geen giscorrectie.</w:t>
      </w:r>
    </w:p>
    <w:p>
      <w:pPr>
        <w:jc w:val="both"/>
      </w:pPr>
      <w:r>
        <w:t xml:space="preserve"/>
      </w:r>
    </w:p>
    <w:p>
      <w:pPr>
        <w:jc w:val="both"/>
      </w:pPr>
      <w:r>
        <w:t xml:space="preserve">Voor de open vragen bekijken de correctoren of je antwoord:</w:t>
      </w:r>
    </w:p>
    <w:p>
      <w:pPr>
        <w:jc w:val="both"/>
      </w:pPr>
      <w:r>
        <w:t xml:space="preserve">- de juiste wetenschappelijke begrippen en symbolen bevat;</w:t>
      </w:r>
    </w:p>
    <w:p>
      <w:pPr>
        <w:jc w:val="both"/>
      </w:pPr>
      <w:r>
        <w:t xml:space="preserve">- ondubbelzinnig is en de juiste inhoud bevat;</w:t>
      </w:r>
    </w:p>
    <w:p>
      <w:pPr>
        <w:jc w:val="both"/>
      </w:pPr>
      <w:r>
        <w:t xml:space="preserve">- duidelijk leesbaar is (anders kunnen er geen punten toegekend worden);</w:t>
      </w:r>
    </w:p>
    <w:p>
      <w:pPr>
        <w:jc w:val="both"/>
      </w:pPr>
      <w:r>
        <w:t xml:space="preserve">- duidelijk gestructureerd is.</w:t>
      </w:r>
    </w:p>
    <w:p>
      <w:pPr>
        <w:jc w:val="both"/>
      </w:pPr>
      <w:r>
        <w:t xml:space="preserve"/>
      </w:r>
    </w:p>
    <w:p>
      <w:pPr>
        <w:jc w:val="both"/>
      </w:pPr>
      <w:r>
        <w:t xml:space="preserve">Wij houden geen rekening met taalfouten.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Materie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Energie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Krachten, trillingen en golven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handboeken die vaak gebruikt worden in het secundair onderwijs. Ze bieden je ondersteuning om de leerstof zelfstandig te verwerken.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Kern (4 leerboeken)</w:t>
              <w:br/>
              <w:t xml:space="preserve"/>
              <w:br/>
              <w:t xml:space="preserve">Natuurwetenschappen GO! (1ste druk 4 delen, laatste druk 2 delen)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 432.95.00</w:t>
              <w:br/>
              <w:t xml:space="preserve"/>
              <w:br/>
              <w:t xml:space="preserve">uitgeverij@vanin.be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Naturalis 5 en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
              <w:br/>
              <w:t xml:space="preserve">0800.99084</w:t>
              <w:br/>
              <w:t xml:space="preserve"/>
              <w:br/>
              <w:t xml:space="preserve">klantendienst@plantyn.be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